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B6" w:rsidRPr="009742B6" w:rsidRDefault="009742B6" w:rsidP="009742B6">
      <w:pPr>
        <w:spacing w:afterLines="50" w:after="156"/>
        <w:jc w:val="left"/>
        <w:rPr>
          <w:rFonts w:ascii="黑体" w:eastAsia="黑体" w:hAnsi="黑体" w:cs="CG Times"/>
          <w:sz w:val="32"/>
          <w:szCs w:val="32"/>
        </w:rPr>
      </w:pPr>
      <w:r w:rsidRPr="009742B6">
        <w:rPr>
          <w:rFonts w:ascii="黑体" w:eastAsia="黑体" w:hAnsi="黑体" w:cs="CG Times" w:hint="eastAsia"/>
          <w:sz w:val="32"/>
          <w:szCs w:val="32"/>
        </w:rPr>
        <w:t>附件2</w:t>
      </w:r>
    </w:p>
    <w:p w:rsidR="009742B6" w:rsidRPr="009742B6" w:rsidRDefault="009742B6" w:rsidP="009742B6">
      <w:pPr>
        <w:spacing w:afterLines="50" w:after="156"/>
        <w:jc w:val="center"/>
        <w:rPr>
          <w:rFonts w:ascii="华文仿宋" w:eastAsia="华文仿宋" w:hAnsi="华文仿宋" w:cs="CG Times"/>
          <w:b/>
          <w:sz w:val="32"/>
          <w:szCs w:val="32"/>
        </w:rPr>
      </w:pPr>
      <w:r w:rsidRPr="009742B6">
        <w:rPr>
          <w:rFonts w:ascii="华文仿宋" w:eastAsia="华文仿宋" w:hAnsi="华文仿宋" w:cs="CG Times" w:hint="eastAsia"/>
          <w:b/>
          <w:sz w:val="32"/>
          <w:szCs w:val="32"/>
        </w:rPr>
        <w:t>会议议程</w:t>
      </w:r>
    </w:p>
    <w:tbl>
      <w:tblPr>
        <w:tblW w:w="51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0"/>
        <w:gridCol w:w="1770"/>
        <w:gridCol w:w="5128"/>
        <w:gridCol w:w="1194"/>
      </w:tblGrid>
      <w:tr w:rsidR="009742B6" w:rsidRPr="009742B6" w:rsidTr="005C3F64">
        <w:trPr>
          <w:trHeight w:val="454"/>
          <w:jc w:val="center"/>
        </w:trPr>
        <w:tc>
          <w:tcPr>
            <w:tcW w:w="424" w:type="pct"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主讲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.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报到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.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27</w:t>
            </w:r>
          </w:p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8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:0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0-8:30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开班仪式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8</w:t>
            </w:r>
            <w:r w:rsidRPr="009742B6">
              <w:rPr>
                <w:rFonts w:ascii="华文仿宋" w:eastAsia="华文仿宋" w:hAnsi="华文仿宋" w:cs="微软雅黑"/>
                <w:sz w:val="28"/>
                <w:szCs w:val="28"/>
              </w:rPr>
              <w:t>:30-9:20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储罐腐蚀与控制技术的理论与实践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sz w:val="28"/>
                <w:szCs w:val="28"/>
              </w:rPr>
            </w:pPr>
            <w:proofErr w:type="gramStart"/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路民旭</w:t>
            </w:r>
            <w:proofErr w:type="gramEnd"/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9:20-10:10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无人值守物</w:t>
            </w:r>
            <w:proofErr w:type="gramStart"/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联网声</w:t>
            </w:r>
            <w:proofErr w:type="gramEnd"/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发射设备在储罐监测检测中的应用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刘时风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:3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11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:2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储罐检验检测技术与标准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沈建民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1:20-12:10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常压储罐在用检验与完整性评价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赵彦修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.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27</w:t>
            </w:r>
          </w:p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:0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14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常压金属储罐声发射在线检测技术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张颖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4:50-15:40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大型化工储罐在线检测技术难点与安全评估方法探讨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张延兵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6:00-16:50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大型立式浮顶原油储罐检验检测技术及案例分析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proofErr w:type="gramStart"/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刘觉非</w:t>
            </w:r>
            <w:proofErr w:type="gramEnd"/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6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:5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17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:4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港口危险</w:t>
            </w:r>
            <w:r w:rsidRPr="009742B6">
              <w:rPr>
                <w:rFonts w:ascii="华文仿宋" w:eastAsia="华文仿宋" w:hAnsi="华文仿宋" w:cs="微软雅黑"/>
                <w:sz w:val="28"/>
                <w:szCs w:val="28"/>
              </w:rPr>
              <w:t>货物常压储罐检测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刘金生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.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28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:30-9:20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漏磁技术在常压储罐检测中的应用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闫河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bookmarkStart w:id="1" w:name="_Hlk77319495"/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9:20-10:10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常压储罐无损检测新技术应用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proofErr w:type="gramStart"/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董洋</w:t>
            </w:r>
            <w:proofErr w:type="gramEnd"/>
          </w:p>
        </w:tc>
      </w:tr>
      <w:bookmarkEnd w:id="1"/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:3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11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:2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大型储罐的建造及本质安全管理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董月功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1:20-12:10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大型储罐工程质量问题交流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张之平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.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28下午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:0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14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常压储罐长周期运行管理探讨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胡永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4:50-15:40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大型储罐检修概述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梁博</w:t>
            </w:r>
            <w:proofErr w:type="gramStart"/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一</w:t>
            </w:r>
            <w:proofErr w:type="gramEnd"/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6:00-16:50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外浮顶储罐运行常见问题及检修注意事项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王金龙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FF0000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sz w:val="28"/>
                <w:szCs w:val="28"/>
              </w:rPr>
              <w:t>6</w:t>
            </w: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:5</w:t>
            </w:r>
            <w:r w:rsidRPr="009742B6">
              <w:rPr>
                <w:rFonts w:ascii="华文仿宋" w:eastAsia="华文仿宋" w:hAnsi="华文仿宋" w:cs="微软雅黑"/>
                <w:sz w:val="28"/>
                <w:szCs w:val="28"/>
              </w:rPr>
              <w:t>0</w:t>
            </w: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-</w:t>
            </w:r>
            <w:r w:rsidRPr="009742B6">
              <w:rPr>
                <w:rFonts w:ascii="华文仿宋" w:eastAsia="华文仿宋" w:hAnsi="华文仿宋" w:cs="微软雅黑"/>
                <w:sz w:val="28"/>
                <w:szCs w:val="28"/>
              </w:rPr>
              <w:t>17</w:t>
            </w: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:4</w:t>
            </w:r>
            <w:r w:rsidRPr="009742B6">
              <w:rPr>
                <w:rFonts w:ascii="华文仿宋" w:eastAsia="华文仿宋" w:hAnsi="华文仿宋" w:cs="微软雅黑"/>
                <w:sz w:val="28"/>
                <w:szCs w:val="28"/>
              </w:rPr>
              <w:t>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地上石油储库完整性管理的发展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sz w:val="28"/>
                <w:szCs w:val="28"/>
              </w:rPr>
              <w:t>董绍华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bookmarkStart w:id="2" w:name="_Hlk54862560"/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</w:t>
            </w: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.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 xml:space="preserve">29 </w:t>
            </w:r>
          </w:p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bookmarkEnd w:id="2"/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9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:00-11:30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行业管理座谈会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杨志伟</w:t>
            </w:r>
          </w:p>
        </w:tc>
      </w:tr>
      <w:tr w:rsidR="009742B6" w:rsidRPr="009742B6" w:rsidTr="005C3F64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9742B6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4:00-17:00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企业参观交流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9742B6" w:rsidRPr="009742B6" w:rsidRDefault="009742B6" w:rsidP="009742B6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9742B6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沈建民</w:t>
            </w:r>
          </w:p>
        </w:tc>
      </w:tr>
    </w:tbl>
    <w:p w:rsidR="009742B6" w:rsidRPr="009742B6" w:rsidRDefault="009742B6" w:rsidP="009742B6">
      <w:pPr>
        <w:widowControl/>
        <w:jc w:val="left"/>
        <w:rPr>
          <w:rFonts w:ascii="华文仿宋" w:eastAsia="华文仿宋" w:hAnsi="华文仿宋" w:cs="CG Times"/>
          <w:sz w:val="32"/>
          <w:szCs w:val="32"/>
        </w:rPr>
      </w:pPr>
      <w:r w:rsidRPr="009742B6">
        <w:rPr>
          <w:rFonts w:ascii="华文仿宋" w:eastAsia="华文仿宋" w:hAnsi="华文仿宋" w:cs="CG Times" w:hint="eastAsia"/>
          <w:sz w:val="32"/>
          <w:szCs w:val="32"/>
        </w:rPr>
        <w:t>每场讲座4</w:t>
      </w:r>
      <w:r w:rsidRPr="009742B6">
        <w:rPr>
          <w:rFonts w:ascii="华文仿宋" w:eastAsia="华文仿宋" w:hAnsi="华文仿宋" w:cs="CG Times"/>
          <w:sz w:val="32"/>
          <w:szCs w:val="32"/>
        </w:rPr>
        <w:t>0</w:t>
      </w:r>
      <w:r w:rsidRPr="009742B6">
        <w:rPr>
          <w:rFonts w:ascii="华文仿宋" w:eastAsia="华文仿宋" w:hAnsi="华文仿宋" w:cs="CG Times" w:hint="eastAsia"/>
          <w:sz w:val="32"/>
          <w:szCs w:val="32"/>
        </w:rPr>
        <w:t>分钟，交流1</w:t>
      </w:r>
      <w:r w:rsidRPr="009742B6">
        <w:rPr>
          <w:rFonts w:ascii="华文仿宋" w:eastAsia="华文仿宋" w:hAnsi="华文仿宋" w:cs="CG Times"/>
          <w:sz w:val="32"/>
          <w:szCs w:val="32"/>
        </w:rPr>
        <w:t>0</w:t>
      </w:r>
      <w:r w:rsidRPr="009742B6">
        <w:rPr>
          <w:rFonts w:ascii="华文仿宋" w:eastAsia="华文仿宋" w:hAnsi="华文仿宋" w:cs="CG Times" w:hint="eastAsia"/>
          <w:sz w:val="32"/>
          <w:szCs w:val="32"/>
        </w:rPr>
        <w:t>分钟。</w:t>
      </w:r>
    </w:p>
    <w:p w:rsidR="001978C4" w:rsidRPr="009742B6" w:rsidRDefault="001978C4"/>
    <w:sectPr w:rsidR="001978C4" w:rsidRPr="009742B6" w:rsidSect="00974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6"/>
    <w:rsid w:val="001978C4"/>
    <w:rsid w:val="009742B6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2021-09-07T04:05:00Z</dcterms:created>
  <dcterms:modified xsi:type="dcterms:W3CDTF">2021-09-07T04:05:00Z</dcterms:modified>
</cp:coreProperties>
</file>