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黑体" w:hAnsi="黑体" w:eastAsia="黑体"/>
          <w:sz w:val="32"/>
          <w:szCs w:val="32"/>
        </w:rPr>
      </w:pPr>
      <w:bookmarkStart w:id="0" w:name="_GoBack"/>
      <w:bookmarkEnd w:id="0"/>
      <w:r>
        <w:rPr>
          <w:rFonts w:hint="eastAsia" w:ascii="黑体" w:hAnsi="黑体" w:eastAsia="黑体"/>
          <w:sz w:val="32"/>
          <w:szCs w:val="32"/>
        </w:rPr>
        <w:t>附件</w:t>
      </w:r>
      <w:r>
        <w:rPr>
          <w:rFonts w:hint="default" w:ascii="黑体" w:hAnsi="黑体" w:eastAsia="黑体"/>
          <w:sz w:val="32"/>
          <w:szCs w:val="32"/>
        </w:rPr>
        <w:t>2</w:t>
      </w:r>
    </w:p>
    <w:p>
      <w:pPr>
        <w:spacing w:line="360" w:lineRule="auto"/>
        <w:jc w:val="center"/>
        <w:rPr>
          <w:rFonts w:ascii="方正仿宋简体" w:eastAsia="方正仿宋简体" w:hAnsiTheme="minorEastAsia"/>
          <w:sz w:val="30"/>
          <w:szCs w:val="30"/>
        </w:rPr>
      </w:pPr>
      <w:r>
        <w:rPr>
          <w:rFonts w:hint="eastAsia" w:ascii="方正小标宋简体" w:eastAsia="方正小标宋简体"/>
          <w:sz w:val="32"/>
          <w:szCs w:val="32"/>
        </w:rPr>
        <w:t>自备材料目录</w:t>
      </w:r>
    </w:p>
    <w:tbl>
      <w:tblPr>
        <w:tblStyle w:val="10"/>
        <w:tblW w:w="10348" w:type="dxa"/>
        <w:tblInd w:w="-601" w:type="dxa"/>
        <w:tblLayout w:type="fixed"/>
        <w:tblCellMar>
          <w:top w:w="0" w:type="dxa"/>
          <w:left w:w="108" w:type="dxa"/>
          <w:bottom w:w="0" w:type="dxa"/>
          <w:right w:w="108" w:type="dxa"/>
        </w:tblCellMar>
      </w:tblPr>
      <w:tblGrid>
        <w:gridCol w:w="748"/>
        <w:gridCol w:w="9600"/>
      </w:tblGrid>
      <w:tr>
        <w:trPr>
          <w:trHeight w:val="680" w:hRule="exact"/>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类别</w:t>
            </w: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名              称</w:t>
            </w:r>
          </w:p>
        </w:tc>
      </w:tr>
      <w:tr>
        <w:trPr>
          <w:trHeight w:val="680" w:hRule="exact"/>
        </w:trPr>
        <w:tc>
          <w:tcPr>
            <w:tcW w:w="74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法律</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法规</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中华人民共和国特种设备安全法</w:t>
            </w:r>
          </w:p>
        </w:tc>
      </w:tr>
      <w:tr>
        <w:trPr>
          <w:trHeight w:val="680" w:hRule="exact"/>
        </w:trPr>
        <w:tc>
          <w:tcPr>
            <w:tcW w:w="748" w:type="dxa"/>
            <w:vMerge w:val="continue"/>
            <w:tcBorders>
              <w:top w:val="nil"/>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特种设备安全监察条例</w:t>
            </w:r>
          </w:p>
        </w:tc>
      </w:tr>
      <w:tr>
        <w:trPr>
          <w:trHeight w:val="680" w:hRule="exact"/>
        </w:trPr>
        <w:tc>
          <w:tcPr>
            <w:tcW w:w="748"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部门</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规章</w:t>
            </w:r>
          </w:p>
        </w:tc>
        <w:tc>
          <w:tcPr>
            <w:tcW w:w="9600" w:type="dxa"/>
            <w:tcBorders>
              <w:top w:val="nil"/>
              <w:left w:val="nil"/>
              <w:bottom w:val="single" w:color="auto" w:sz="4" w:space="0"/>
              <w:right w:val="single" w:color="auto" w:sz="4" w:space="0"/>
            </w:tcBorders>
            <w:shd w:val="clear" w:color="auto" w:fill="auto"/>
            <w:noWrap/>
            <w:vAlign w:val="center"/>
          </w:tcPr>
          <w:p>
            <w:pPr>
              <w:widowControl/>
              <w:shd w:val="clear" w:color="auto" w:fill="FFFFFF"/>
              <w:spacing w:line="360" w:lineRule="exact"/>
              <w:rPr>
                <w:rFonts w:ascii="Segoe UI" w:hAnsi="Segoe UI" w:eastAsia="宋体" w:cs="Segoe UI"/>
                <w:color w:val="555555"/>
                <w:kern w:val="0"/>
                <w:sz w:val="27"/>
                <w:szCs w:val="27"/>
              </w:rPr>
            </w:pPr>
            <w:r>
              <w:rPr>
                <w:rFonts w:hint="eastAsia" w:ascii="方正仿宋简体" w:hAnsi="宋体" w:eastAsia="方正仿宋简体" w:cs="宋体"/>
                <w:color w:val="000000"/>
                <w:kern w:val="0"/>
                <w:sz w:val="24"/>
                <w:szCs w:val="24"/>
              </w:rPr>
              <w:t>《特种设备事故报告和调查处理规定》（</w:t>
            </w:r>
            <w:r>
              <w:rPr>
                <w:rFonts w:ascii="方正仿宋简体" w:hAnsi="宋体" w:eastAsia="方正仿宋简体" w:cs="宋体"/>
                <w:color w:val="000000"/>
                <w:kern w:val="0"/>
                <w:sz w:val="24"/>
                <w:szCs w:val="24"/>
              </w:rPr>
              <w:t>国家市场监督管理总局令第50号）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《特种设备安全监督检查办法》（</w:t>
            </w:r>
            <w:r>
              <w:rPr>
                <w:rFonts w:ascii="方正仿宋简体" w:hAnsi="宋体" w:eastAsia="方正仿宋简体" w:cs="宋体"/>
                <w:color w:val="000000"/>
                <w:kern w:val="0"/>
                <w:sz w:val="24"/>
                <w:szCs w:val="24"/>
              </w:rPr>
              <w:t>国家市场监督管理总局令第5</w:t>
            </w:r>
            <w:r>
              <w:rPr>
                <w:rFonts w:hint="eastAsia" w:ascii="方正仿宋简体" w:hAnsi="宋体" w:eastAsia="方正仿宋简体" w:cs="宋体"/>
                <w:color w:val="000000"/>
                <w:kern w:val="0"/>
                <w:sz w:val="24"/>
                <w:szCs w:val="24"/>
              </w:rPr>
              <w:t>7</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spacing w:val="-8"/>
                <w:kern w:val="0"/>
                <w:sz w:val="24"/>
                <w:szCs w:val="24"/>
              </w:rPr>
              <w:t>《客运索道安全监督管理规定》</w:t>
            </w:r>
            <w:r>
              <w:rPr>
                <w:rFonts w:hint="eastAsia" w:ascii="方正仿宋简体" w:hAnsi="宋体" w:eastAsia="方正仿宋简体" w:cs="宋体"/>
                <w:color w:val="000000"/>
                <w:kern w:val="0"/>
                <w:sz w:val="24"/>
                <w:szCs w:val="24"/>
              </w:rPr>
              <w:t>）（</w:t>
            </w:r>
            <w:r>
              <w:rPr>
                <w:rFonts w:ascii="方正仿宋简体" w:hAnsi="宋体" w:eastAsia="方正仿宋简体" w:cs="宋体"/>
                <w:color w:val="000000"/>
                <w:kern w:val="0"/>
                <w:sz w:val="24"/>
                <w:szCs w:val="24"/>
              </w:rPr>
              <w:t>国家市场监督管理总局令第</w:t>
            </w:r>
            <w:r>
              <w:rPr>
                <w:rFonts w:hint="eastAsia" w:ascii="方正仿宋简体" w:hAnsi="宋体" w:eastAsia="方正仿宋简体" w:cs="宋体"/>
                <w:color w:val="000000"/>
                <w:kern w:val="0"/>
                <w:sz w:val="24"/>
                <w:szCs w:val="24"/>
                <w:lang w:val="en-US" w:eastAsia="zh-CN"/>
              </w:rPr>
              <w:t>179</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《高耗能特种设备节能监督管理办法》（国家质检总局令第116号）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spacing w:val="-8"/>
                <w:kern w:val="0"/>
                <w:sz w:val="24"/>
                <w:szCs w:val="24"/>
              </w:rPr>
            </w:pPr>
            <w:r>
              <w:rPr>
                <w:rFonts w:hint="eastAsia" w:ascii="方正仿宋简体" w:hAnsi="宋体" w:eastAsia="方正仿宋简体" w:cs="宋体"/>
                <w:color w:val="000000"/>
                <w:kern w:val="0"/>
                <w:sz w:val="24"/>
                <w:szCs w:val="24"/>
              </w:rPr>
              <w:t>《大型游乐设施安全监察规定》（国家质检总局令第154号）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特种设备生产单位落实质量安全主体责任监督管理规定</w:t>
            </w: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(国家市场监管总局令第73号）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val="en-US" w:eastAsia="zh-CN"/>
              </w:rPr>
              <w:t>《</w:t>
            </w:r>
            <w:r>
              <w:rPr>
                <w:rFonts w:hint="eastAsia" w:ascii="方正仿宋简体" w:hAnsi="宋体" w:eastAsia="方正仿宋简体" w:cs="宋体"/>
                <w:color w:val="000000"/>
                <w:kern w:val="0"/>
                <w:sz w:val="24"/>
                <w:szCs w:val="24"/>
                <w:lang w:eastAsia="zh-CN"/>
              </w:rPr>
              <w:t>特种设备使用单位落实使用安全主体责任监督管理规定</w:t>
            </w:r>
            <w:r>
              <w:rPr>
                <w:rFonts w:hint="eastAsia" w:ascii="方正仿宋简体" w:hAnsi="宋体" w:eastAsia="方正仿宋简体" w:cs="宋体"/>
                <w:color w:val="000000"/>
                <w:kern w:val="0"/>
                <w:sz w:val="24"/>
                <w:szCs w:val="24"/>
                <w:lang w:val="en-US" w:eastAsia="zh-CN"/>
              </w:rPr>
              <w:t>》(国家市场监管总局令第74号）</w:t>
            </w:r>
          </w:p>
        </w:tc>
      </w:tr>
      <w:tr>
        <w:trPr>
          <w:trHeight w:val="680" w:hRule="exact"/>
        </w:trPr>
        <w:tc>
          <w:tcPr>
            <w:tcW w:w="748"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pStyle w:val="2"/>
              <w:widowControl/>
              <w:spacing w:beforeAutospacing="0" w:afterAutospacing="0" w:line="360" w:lineRule="exact"/>
              <w:jc w:val="both"/>
              <w:rPr>
                <w:rFonts w:hint="default"/>
              </w:rPr>
            </w:pPr>
            <w:r>
              <w:rPr>
                <w:rFonts w:ascii="方正仿宋简体" w:eastAsia="方正仿宋简体" w:cs="宋体"/>
                <w:b w:val="0"/>
                <w:color w:val="000000"/>
                <w:kern w:val="0"/>
                <w:sz w:val="24"/>
                <w:szCs w:val="24"/>
              </w:rPr>
              <w:t>《特种设备目录》（质检总局公告2014年第114号)</w:t>
            </w:r>
          </w:p>
        </w:tc>
      </w:tr>
      <w:tr>
        <w:trPr>
          <w:trHeight w:val="680"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安全技术</w:t>
            </w:r>
          </w:p>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03—2015特种设备事故报告和调查处理导则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11-2020 锅炉安全技术规程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21—2016  固定式压力容器安全技术监察规程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R0005-2011 移动式压力容器安全技术监察规程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highlight w:val="yellow"/>
              </w:rPr>
            </w:pPr>
            <w:r>
              <w:rPr>
                <w:rFonts w:hint="eastAsia" w:ascii="方正仿宋简体" w:hAnsi="宋体" w:eastAsia="方正仿宋简体" w:cs="宋体"/>
                <w:color w:val="000000"/>
                <w:kern w:val="0"/>
                <w:sz w:val="24"/>
                <w:szCs w:val="24"/>
              </w:rPr>
              <w:t>TSG 23--2021  气瓶安全技术规程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D0001--2009  压力管道安全技术监察规程</w:t>
            </w:r>
            <w:r>
              <w:rPr>
                <w:rFonts w:ascii="方正仿宋简体" w:hAnsi="宋体" w:eastAsia="方正仿宋简体" w:cs="宋体"/>
                <w:color w:val="000000"/>
                <w:kern w:val="0"/>
                <w:sz w:val="24"/>
                <w:szCs w:val="24"/>
              </w:rPr>
              <w:t>—</w:t>
            </w:r>
            <w:r>
              <w:rPr>
                <w:rFonts w:hint="eastAsia" w:ascii="方正仿宋简体" w:hAnsi="宋体" w:eastAsia="方正仿宋简体" w:cs="宋体"/>
                <w:color w:val="000000"/>
                <w:kern w:val="0"/>
                <w:sz w:val="24"/>
                <w:szCs w:val="24"/>
              </w:rPr>
              <w:t>工业管道</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 xml:space="preserve">TSG </w:t>
            </w:r>
            <w:r>
              <w:rPr>
                <w:rFonts w:hint="eastAsia" w:ascii="方正仿宋简体" w:hAnsi="宋体" w:eastAsia="方正仿宋简体" w:cs="宋体"/>
                <w:color w:val="000000"/>
                <w:kern w:val="0"/>
                <w:sz w:val="24"/>
                <w:szCs w:val="24"/>
                <w:lang w:val="en-US" w:eastAsia="zh-CN"/>
              </w:rPr>
              <w:t>51</w:t>
            </w:r>
            <w:r>
              <w:rPr>
                <w:rFonts w:hint="eastAsia" w:ascii="方正仿宋简体" w:hAnsi="宋体" w:eastAsia="方正仿宋简体" w:cs="宋体"/>
                <w:color w:val="000000"/>
                <w:kern w:val="0"/>
                <w:sz w:val="24"/>
                <w:szCs w:val="24"/>
              </w:rPr>
              <w:t>--20</w:t>
            </w:r>
            <w:r>
              <w:rPr>
                <w:rFonts w:hint="eastAsia" w:ascii="方正仿宋简体" w:hAnsi="宋体" w:eastAsia="方正仿宋简体" w:cs="宋体"/>
                <w:color w:val="000000"/>
                <w:kern w:val="0"/>
                <w:sz w:val="24"/>
                <w:szCs w:val="24"/>
                <w:lang w:val="en-US" w:eastAsia="zh-CN"/>
              </w:rPr>
              <w:t>23</w:t>
            </w:r>
            <w:r>
              <w:rPr>
                <w:rFonts w:hint="eastAsia" w:ascii="方正仿宋简体" w:hAnsi="宋体" w:eastAsia="方正仿宋简体" w:cs="宋体"/>
                <w:color w:val="000000"/>
                <w:kern w:val="0"/>
                <w:sz w:val="24"/>
                <w:szCs w:val="24"/>
              </w:rPr>
              <w:t xml:space="preserve">  起重机械安全技术规程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08-2017特种设备使用管理规则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71-2023《大型游乐设施安全技术规程》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T5002-2017  电梯维护保养规则</w:t>
            </w:r>
          </w:p>
        </w:tc>
      </w:tr>
      <w:tr>
        <w:trPr>
          <w:trHeight w:val="89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right w:val="single" w:color="auto" w:sz="4" w:space="0"/>
            </w:tcBorders>
            <w:shd w:val="clear" w:color="auto" w:fill="auto"/>
            <w:noWrap/>
            <w:vAlign w:val="center"/>
          </w:tcPr>
          <w:p>
            <w:pPr>
              <w:pStyle w:val="2"/>
              <w:widowControl/>
              <w:spacing w:beforeAutospacing="0" w:afterAutospacing="0" w:line="360" w:lineRule="exact"/>
              <w:jc w:val="both"/>
              <w:rPr>
                <w:rFonts w:ascii="方正仿宋简体" w:hAnsi="宋体" w:eastAsia="方正仿宋简体" w:cs="宋体"/>
                <w:color w:val="000000"/>
                <w:kern w:val="0"/>
                <w:sz w:val="24"/>
                <w:szCs w:val="24"/>
              </w:rPr>
            </w:pPr>
            <w:r>
              <w:rPr>
                <w:rFonts w:ascii="方正仿宋简体" w:eastAsia="方正仿宋简体" w:cs="宋体"/>
                <w:b w:val="0"/>
                <w:color w:val="000000"/>
                <w:kern w:val="0"/>
                <w:sz w:val="24"/>
                <w:szCs w:val="24"/>
              </w:rPr>
              <w:t>TSG 81-2022  场(厂)内专用机动车辆安全技术规程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TSG 07-2019特种设备生产和充装单位许可规则</w:t>
            </w:r>
            <w:r>
              <w:rPr>
                <w:rFonts w:hint="eastAsia" w:ascii="方正仿宋简体" w:hAnsi="宋体" w:eastAsia="方正仿宋简体" w:cs="宋体"/>
                <w:color w:val="000000"/>
                <w:kern w:val="0"/>
                <w:sz w:val="24"/>
                <w:szCs w:val="24"/>
                <w:lang w:val="en-US" w:eastAsia="zh-CN"/>
              </w:rPr>
              <w:t>及第1、第2号修改单</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91-2021锅炉节能环保技术规程</w:t>
            </w:r>
          </w:p>
        </w:tc>
      </w:tr>
      <w:tr>
        <w:trPr>
          <w:trHeight w:val="1116"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规范性文件</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《市场监管总局特种设备局关于明确起重机械有关名词术语含义的通知》（特设局函〔2020〕47号）</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市场监管总局关于调整《电梯施工类别划分表》的通知(国市监特设函〔2019〕64号)</w:t>
            </w:r>
          </w:p>
        </w:tc>
      </w:tr>
      <w:tr>
        <w:trPr>
          <w:trHeight w:val="825"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市场监管总局关于特种设备行政许可有关事项的公告（国家市场监督管理总局公告2021年第41号）</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jc w:val="center"/>
              <w:rPr>
                <w:rFonts w:ascii="方正仿宋简体" w:eastAsia="方正仿宋简体" w:hAnsiTheme="minorEastAsia"/>
                <w:sz w:val="30"/>
                <w:szCs w:val="30"/>
              </w:rPr>
            </w:pPr>
            <w:r>
              <w:rPr>
                <w:rFonts w:hint="eastAsia" w:ascii="方正仿宋简体" w:hAnsi="宋体" w:eastAsia="方正仿宋简体" w:cs="宋体"/>
                <w:color w:val="000000"/>
                <w:kern w:val="0"/>
                <w:sz w:val="24"/>
                <w:szCs w:val="24"/>
              </w:rPr>
              <w:t>书籍</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《特种设备安全技术（承压类）》《特种设备安全技术（机电类）》</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spacing w:line="360" w:lineRule="auto"/>
              <w:jc w:val="center"/>
              <w:rPr>
                <w:rFonts w:hint="eastAsia" w:ascii="方正仿宋简体" w:hAnsi="宋体" w:eastAsia="方正仿宋简体" w:cs="宋体"/>
                <w:color w:val="000000"/>
                <w:kern w:val="0"/>
                <w:sz w:val="24"/>
                <w:szCs w:val="24"/>
                <w:lang w:val="en-US" w:eastAsia="zh-CN" w:bidi="ar-SA"/>
              </w:rPr>
            </w:pPr>
            <w:r>
              <w:rPr>
                <w:rFonts w:hint="eastAsia" w:ascii="方正仿宋简体" w:hAnsi="宋体" w:eastAsia="方正仿宋简体" w:cs="宋体"/>
                <w:color w:val="000000"/>
                <w:kern w:val="0"/>
                <w:sz w:val="24"/>
                <w:szCs w:val="24"/>
              </w:rPr>
              <w:t>备注</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以上自备材料</w:t>
            </w:r>
            <w:r>
              <w:rPr>
                <w:rFonts w:hint="eastAsia" w:ascii="方正仿宋简体" w:hAnsi="宋体" w:eastAsia="方正仿宋简体" w:cs="宋体"/>
                <w:color w:val="000000"/>
                <w:kern w:val="0"/>
                <w:sz w:val="24"/>
                <w:szCs w:val="24"/>
                <w:lang w:eastAsia="zh-Hans"/>
              </w:rPr>
              <w:t>自行准备，亦可</w:t>
            </w:r>
            <w:r>
              <w:rPr>
                <w:rFonts w:hint="eastAsia" w:ascii="方正仿宋简体" w:hAnsi="宋体" w:eastAsia="方正仿宋简体" w:cs="宋体"/>
                <w:color w:val="000000"/>
                <w:kern w:val="0"/>
                <w:sz w:val="24"/>
                <w:szCs w:val="24"/>
              </w:rPr>
              <w:t>与中国特种设备安全杂志社联系购买并携带。</w:t>
            </w:r>
          </w:p>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联系方式：  沈建超010-59068616   13426065638</w:t>
            </w:r>
          </w:p>
        </w:tc>
      </w:tr>
    </w:tbl>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spacing w:line="600" w:lineRule="exact"/>
        <w:ind w:right="1245" w:rightChars="593"/>
        <w:jc w:val="right"/>
        <w:rPr>
          <w:rFonts w:ascii="方正仿宋简体" w:hAnsi="楷体" w:eastAsia="方正仿宋简体" w:cs="Times New Roman"/>
          <w:sz w:val="32"/>
          <w:szCs w:val="32"/>
        </w:rPr>
      </w:pPr>
    </w:p>
    <w:p>
      <w:pPr>
        <w:spacing w:line="600" w:lineRule="exact"/>
        <w:ind w:firstLine="160" w:firstLineChars="50"/>
        <w:jc w:val="left"/>
        <w:rPr>
          <w:rFonts w:hint="eastAsia" w:ascii="方正仿宋简体" w:hAnsi="等线" w:eastAsia="方正仿宋简体" w:cs="Times New Roman"/>
          <w:sz w:val="32"/>
          <w:szCs w:val="32"/>
        </w:rPr>
      </w:pPr>
    </w:p>
    <w:p>
      <w:pPr>
        <w:spacing w:line="600" w:lineRule="exact"/>
        <w:ind w:firstLine="105" w:firstLineChars="50"/>
        <w:jc w:val="left"/>
      </w:pPr>
    </w:p>
    <w:sectPr>
      <w:headerReference r:id="rId3" w:type="default"/>
      <w:footerReference r:id="rId5" w:type="default"/>
      <w:headerReference r:id="rId4" w:type="even"/>
      <w:footerReference r:id="rId6" w:type="even"/>
      <w:pgSz w:w="11906" w:h="16838"/>
      <w:pgMar w:top="1440" w:right="1800" w:bottom="1440" w:left="1800" w:header="851" w:footer="1134" w:gutter="0"/>
      <w:cols w:space="425" w:num="1"/>
      <w:docGrid w:linePitch="579"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简体">
    <w:panose1 w:val="02010601030101010101"/>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方正仿宋简体">
    <w:panose1 w:val="02010601030101010101"/>
    <w:charset w:val="86"/>
    <w:family w:val="auto"/>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G Times">
    <w:altName w:val="Times New Roman"/>
    <w:panose1 w:val="00000000000000000000"/>
    <w:charset w:val="00"/>
    <w:family w:val="auto"/>
    <w:pitch w:val="default"/>
    <w:sig w:usb0="00000000" w:usb1="00000000" w:usb2="00000000" w:usb3="00000000" w:csb0="00040001" w:csb1="00000000"/>
  </w:font>
  <w:font w:name="Segoe UI">
    <w:altName w:val="苹方-简"/>
    <w:panose1 w:val="020B0502040204020203"/>
    <w:charset w:val="00"/>
    <w:family w:val="swiss"/>
    <w:pitch w:val="default"/>
    <w:sig w:usb0="00000000" w:usb1="00000000" w:usb2="00000029" w:usb3="00000000" w:csb0="000001DF" w:csb1="00000000"/>
  </w:font>
  <w:font w:name="楷体">
    <w:altName w:val="汉仪楷体KW"/>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86"/>
    <w:family w:val="roman"/>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39"/>
      <w:jc w:val="right"/>
      <w:rPr>
        <w:rFonts w:ascii="宋体" w:hAnsi="宋体" w:eastAsia="宋体"/>
        <w:sz w:val="28"/>
        <w:szCs w:val="28"/>
      </w:rPr>
    </w:pPr>
    <w:r>
      <w:rPr>
        <w:rFonts w:hint="eastAsia" w:ascii="宋体" w:hAnsi="宋体" w:eastAsia="宋体"/>
        <w:sz w:val="28"/>
        <w:szCs w:val="28"/>
        <w:lang w:eastAsia="zh-Hans"/>
      </w:rPr>
      <w:t>—</w:t>
    </w:r>
    <w:r>
      <w:rPr>
        <w:rFonts w:ascii="宋体" w:hAnsi="宋体" w:eastAsia="宋体"/>
        <w:sz w:val="28"/>
        <w:szCs w:val="28"/>
        <w:lang w:eastAsia="zh-Hans"/>
      </w:rPr>
      <w:t xml:space="preserve"> </w:t>
    </w:r>
    <w:sdt>
      <w:sdtPr>
        <w:rPr>
          <w:rFonts w:ascii="宋体" w:hAnsi="宋体" w:eastAsia="宋体"/>
          <w:sz w:val="28"/>
          <w:szCs w:val="28"/>
        </w:rPr>
        <w:id w:val="1031607"/>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rFonts w:ascii="宋体" w:hAnsi="宋体" w:eastAsia="宋体"/>
        <w:sz w:val="28"/>
        <w:szCs w:val="28"/>
      </w:rPr>
    </w:pPr>
    <w:r>
      <w:rPr>
        <w:rFonts w:hint="eastAsia" w:ascii="宋体" w:hAnsi="宋体" w:eastAsia="宋体"/>
        <w:sz w:val="28"/>
        <w:szCs w:val="28"/>
      </w:rPr>
      <w:t>—</w:t>
    </w:r>
    <w:sdt>
      <w:sdtPr>
        <w:rPr>
          <w:rFonts w:ascii="宋体" w:hAnsi="宋体" w:eastAsia="宋体"/>
          <w:sz w:val="28"/>
          <w:szCs w:val="28"/>
        </w:rPr>
        <w:id w:val="1031606"/>
      </w:sdtPr>
      <w:sdtEndPr>
        <w:rPr>
          <w:rFonts w:ascii="宋体" w:hAnsi="宋体" w:eastAsia="宋体"/>
          <w:sz w:val="28"/>
          <w:szCs w:val="28"/>
        </w:rPr>
      </w:sdtEndPr>
      <w:sdtContent>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HorizontalSpacing w:val="103"/>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5F"/>
    <w:rsid w:val="00003023"/>
    <w:rsid w:val="00004F12"/>
    <w:rsid w:val="0001129B"/>
    <w:rsid w:val="000126F7"/>
    <w:rsid w:val="000159F9"/>
    <w:rsid w:val="00015C5D"/>
    <w:rsid w:val="00015CD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9261B"/>
    <w:rsid w:val="00197578"/>
    <w:rsid w:val="001A5B16"/>
    <w:rsid w:val="001B0527"/>
    <w:rsid w:val="001B31F1"/>
    <w:rsid w:val="001B40CF"/>
    <w:rsid w:val="001B6B55"/>
    <w:rsid w:val="001B7910"/>
    <w:rsid w:val="001C0857"/>
    <w:rsid w:val="001C20E2"/>
    <w:rsid w:val="001C34F3"/>
    <w:rsid w:val="001D5110"/>
    <w:rsid w:val="001D7697"/>
    <w:rsid w:val="001D7B3B"/>
    <w:rsid w:val="001D7B5E"/>
    <w:rsid w:val="001E1627"/>
    <w:rsid w:val="001E35C7"/>
    <w:rsid w:val="001E4BC2"/>
    <w:rsid w:val="001E6C26"/>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6B"/>
    <w:rsid w:val="00267BA7"/>
    <w:rsid w:val="002705A7"/>
    <w:rsid w:val="00271AD1"/>
    <w:rsid w:val="00274768"/>
    <w:rsid w:val="00274EBF"/>
    <w:rsid w:val="002777B1"/>
    <w:rsid w:val="00282A01"/>
    <w:rsid w:val="00286610"/>
    <w:rsid w:val="00287E0D"/>
    <w:rsid w:val="002931FF"/>
    <w:rsid w:val="002A2516"/>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3A24"/>
    <w:rsid w:val="005946B0"/>
    <w:rsid w:val="00597E24"/>
    <w:rsid w:val="00597E91"/>
    <w:rsid w:val="005A43A7"/>
    <w:rsid w:val="005A4BA9"/>
    <w:rsid w:val="005A6A7D"/>
    <w:rsid w:val="005B535A"/>
    <w:rsid w:val="005B5778"/>
    <w:rsid w:val="005C022E"/>
    <w:rsid w:val="005C20C1"/>
    <w:rsid w:val="005D0C41"/>
    <w:rsid w:val="005D4C56"/>
    <w:rsid w:val="005D58B4"/>
    <w:rsid w:val="005D59BC"/>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791"/>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971AA"/>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2CE4"/>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5328"/>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1DD"/>
    <w:rsid w:val="00C10D64"/>
    <w:rsid w:val="00C110EC"/>
    <w:rsid w:val="00C1251F"/>
    <w:rsid w:val="00C13383"/>
    <w:rsid w:val="00C165EA"/>
    <w:rsid w:val="00C30C89"/>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3D29"/>
    <w:rsid w:val="00C97BE0"/>
    <w:rsid w:val="00CA0439"/>
    <w:rsid w:val="00CA3818"/>
    <w:rsid w:val="00CA551C"/>
    <w:rsid w:val="00CB02D1"/>
    <w:rsid w:val="00CB1167"/>
    <w:rsid w:val="00CB66F3"/>
    <w:rsid w:val="00CC0AB6"/>
    <w:rsid w:val="00CC1EC1"/>
    <w:rsid w:val="00CD0CF9"/>
    <w:rsid w:val="00CD23A2"/>
    <w:rsid w:val="00CD2CA7"/>
    <w:rsid w:val="00CD35A7"/>
    <w:rsid w:val="00CD4CFD"/>
    <w:rsid w:val="00CD758E"/>
    <w:rsid w:val="00CE4796"/>
    <w:rsid w:val="00CE5907"/>
    <w:rsid w:val="00CF10AD"/>
    <w:rsid w:val="00CF2130"/>
    <w:rsid w:val="00CF221E"/>
    <w:rsid w:val="00CF6BE6"/>
    <w:rsid w:val="00CF6D8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07E1"/>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7809"/>
    <w:rsid w:val="00E800D0"/>
    <w:rsid w:val="00E837AA"/>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155FF"/>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17F77597"/>
    <w:rsid w:val="263FE6D6"/>
    <w:rsid w:val="27E7FB6E"/>
    <w:rsid w:val="2BBF9343"/>
    <w:rsid w:val="2EFFB768"/>
    <w:rsid w:val="34B76AA7"/>
    <w:rsid w:val="358D7FF3"/>
    <w:rsid w:val="390BAAF3"/>
    <w:rsid w:val="39FA84DB"/>
    <w:rsid w:val="3BFF6A23"/>
    <w:rsid w:val="3DFF4A9F"/>
    <w:rsid w:val="3EB746A6"/>
    <w:rsid w:val="3FB37F2C"/>
    <w:rsid w:val="3FFDA4F2"/>
    <w:rsid w:val="47FE32EB"/>
    <w:rsid w:val="591B9DAF"/>
    <w:rsid w:val="5D7D6F61"/>
    <w:rsid w:val="5DF7A9BB"/>
    <w:rsid w:val="5EBF91A9"/>
    <w:rsid w:val="69FA01B6"/>
    <w:rsid w:val="6AFFEB78"/>
    <w:rsid w:val="6EFE9347"/>
    <w:rsid w:val="6FDD4E1B"/>
    <w:rsid w:val="6FF3CB4C"/>
    <w:rsid w:val="76BB89D9"/>
    <w:rsid w:val="76FF318A"/>
    <w:rsid w:val="77DF7D58"/>
    <w:rsid w:val="77FE763B"/>
    <w:rsid w:val="77FFFE70"/>
    <w:rsid w:val="7AFFF0F5"/>
    <w:rsid w:val="7DF70AC8"/>
    <w:rsid w:val="7DFFF29C"/>
    <w:rsid w:val="7E0ECECE"/>
    <w:rsid w:val="7ED15AFC"/>
    <w:rsid w:val="7EF756DF"/>
    <w:rsid w:val="7FA741B2"/>
    <w:rsid w:val="7FCFEB83"/>
    <w:rsid w:val="7FFB6A5E"/>
    <w:rsid w:val="7FFC498C"/>
    <w:rsid w:val="8775A9EB"/>
    <w:rsid w:val="ADFD1924"/>
    <w:rsid w:val="AEFB4E49"/>
    <w:rsid w:val="AFBA36D8"/>
    <w:rsid w:val="B2FA6884"/>
    <w:rsid w:val="B31DCCD8"/>
    <w:rsid w:val="BBDECA44"/>
    <w:rsid w:val="BD3FDB58"/>
    <w:rsid w:val="BFA8FCA5"/>
    <w:rsid w:val="C5FBD2D5"/>
    <w:rsid w:val="C77FD75F"/>
    <w:rsid w:val="CCFDF9A9"/>
    <w:rsid w:val="CFBE7D88"/>
    <w:rsid w:val="CFFFF5F0"/>
    <w:rsid w:val="D1EFC33C"/>
    <w:rsid w:val="D5F92BAE"/>
    <w:rsid w:val="D6BA3644"/>
    <w:rsid w:val="D6EF920A"/>
    <w:rsid w:val="D7FFF7EC"/>
    <w:rsid w:val="DCE5EFF0"/>
    <w:rsid w:val="DDFCBB1E"/>
    <w:rsid w:val="E57C4D48"/>
    <w:rsid w:val="E5FE2A8E"/>
    <w:rsid w:val="E7EF8C58"/>
    <w:rsid w:val="EBFB9AC3"/>
    <w:rsid w:val="EC770169"/>
    <w:rsid w:val="ECFE6C9D"/>
    <w:rsid w:val="EF8D9688"/>
    <w:rsid w:val="EFDB6D8B"/>
    <w:rsid w:val="EFDEC6E5"/>
    <w:rsid w:val="F1FDBF65"/>
    <w:rsid w:val="F28F4712"/>
    <w:rsid w:val="F5F25A08"/>
    <w:rsid w:val="F5F7CEE3"/>
    <w:rsid w:val="F6CF0E35"/>
    <w:rsid w:val="F767C6A5"/>
    <w:rsid w:val="F78F1E9F"/>
    <w:rsid w:val="F7FD018C"/>
    <w:rsid w:val="F7FF4D62"/>
    <w:rsid w:val="F8FD3EEE"/>
    <w:rsid w:val="FAB9E07F"/>
    <w:rsid w:val="FABEAE38"/>
    <w:rsid w:val="FBFF3009"/>
    <w:rsid w:val="FD5EF1BD"/>
    <w:rsid w:val="FD7B0374"/>
    <w:rsid w:val="FDCE2A7C"/>
    <w:rsid w:val="FDD4358A"/>
    <w:rsid w:val="FDF71594"/>
    <w:rsid w:val="FE9829C7"/>
    <w:rsid w:val="FEEBC6E0"/>
    <w:rsid w:val="FF6796D1"/>
    <w:rsid w:val="FFAB16A8"/>
    <w:rsid w:val="FFB7795D"/>
    <w:rsid w:val="FFCE6E23"/>
    <w:rsid w:val="FFE8FA9B"/>
    <w:rsid w:val="FFF3D826"/>
    <w:rsid w:val="FFFD3E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5"/>
    <w:qFormat/>
    <w:uiPriority w:val="0"/>
    <w:pPr>
      <w:keepNext/>
      <w:keepLines/>
      <w:spacing w:before="260" w:after="260" w:line="416" w:lineRule="auto"/>
      <w:jc w:val="center"/>
      <w:outlineLvl w:val="1"/>
    </w:pPr>
    <w:rPr>
      <w:rFonts w:ascii="Arial" w:hAnsi="Arial" w:eastAsia="方正黑体简体"/>
      <w:bCs/>
      <w:color w:val="000000" w:themeColor="text1"/>
      <w:sz w:val="32"/>
      <w:szCs w:val="32"/>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50"/>
    <w:qFormat/>
    <w:uiPriority w:val="0"/>
    <w:pPr>
      <w:ind w:left="630" w:hanging="630"/>
    </w:pPr>
    <w:rPr>
      <w:rFonts w:ascii="Times New Roman" w:hAnsi="Times New Roman" w:eastAsia="华文中宋" w:cs="Times New Roman"/>
      <w:sz w:val="32"/>
      <w:szCs w:val="20"/>
    </w:rPr>
  </w:style>
  <w:style w:type="paragraph" w:styleId="5">
    <w:name w:val="Date"/>
    <w:basedOn w:val="1"/>
    <w:next w:val="1"/>
    <w:link w:val="16"/>
    <w:unhideWhenUsed/>
    <w:qFormat/>
    <w:uiPriority w:val="99"/>
    <w:pPr>
      <w:ind w:left="100" w:leftChars="2500"/>
    </w:pPr>
  </w:style>
  <w:style w:type="paragraph" w:styleId="6">
    <w:name w:val="endnote text"/>
    <w:basedOn w:val="1"/>
    <w:link w:val="20"/>
    <w:semiHidden/>
    <w:qFormat/>
    <w:uiPriority w:val="0"/>
    <w:pPr>
      <w:snapToGrid w:val="0"/>
      <w:jc w:val="left"/>
    </w:pPr>
    <w:rPr>
      <w:rFonts w:ascii="Times New Roman" w:hAnsi="Times New Roman" w:eastAsia="宋体" w:cs="Times New Roman"/>
      <w:szCs w:val="24"/>
    </w:rPr>
  </w:style>
  <w:style w:type="paragraph" w:styleId="7">
    <w:name w:val="Balloon Text"/>
    <w:basedOn w:val="1"/>
    <w:link w:val="17"/>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unhideWhenUsed/>
    <w:qFormat/>
    <w:uiPriority w:val="99"/>
    <w:rPr>
      <w:color w:val="800080"/>
      <w:u w:val="single"/>
    </w:rPr>
  </w:style>
  <w:style w:type="character" w:styleId="14">
    <w:name w:val="Hyperlink"/>
    <w:basedOn w:val="12"/>
    <w:semiHidden/>
    <w:qFormat/>
    <w:uiPriority w:val="99"/>
    <w:rPr>
      <w:color w:val="0000FF"/>
      <w:u w:val="single"/>
    </w:rPr>
  </w:style>
  <w:style w:type="character" w:customStyle="1" w:styleId="15">
    <w:name w:val="标题 2 Char"/>
    <w:basedOn w:val="12"/>
    <w:link w:val="3"/>
    <w:qFormat/>
    <w:uiPriority w:val="0"/>
    <w:rPr>
      <w:rFonts w:ascii="Arial" w:hAnsi="Arial" w:eastAsia="方正黑体简体"/>
      <w:bCs/>
      <w:color w:val="000000" w:themeColor="text1"/>
      <w:sz w:val="32"/>
      <w:szCs w:val="32"/>
      <w14:textFill>
        <w14:solidFill>
          <w14:schemeClr w14:val="tx1"/>
        </w14:solidFill>
      </w14:textFill>
    </w:rPr>
  </w:style>
  <w:style w:type="character" w:customStyle="1" w:styleId="16">
    <w:name w:val="日期 Char"/>
    <w:basedOn w:val="12"/>
    <w:link w:val="5"/>
    <w:semiHidden/>
    <w:qFormat/>
    <w:uiPriority w:val="99"/>
  </w:style>
  <w:style w:type="character" w:customStyle="1" w:styleId="17">
    <w:name w:val="批注框文本 Char"/>
    <w:basedOn w:val="12"/>
    <w:link w:val="7"/>
    <w:semiHidden/>
    <w:qFormat/>
    <w:uiPriority w:val="99"/>
    <w:rPr>
      <w:sz w:val="18"/>
      <w:szCs w:val="18"/>
    </w:rPr>
  </w:style>
  <w:style w:type="character" w:customStyle="1" w:styleId="18">
    <w:name w:val="页眉 Char"/>
    <w:basedOn w:val="12"/>
    <w:link w:val="9"/>
    <w:qFormat/>
    <w:uiPriority w:val="99"/>
    <w:rPr>
      <w:sz w:val="18"/>
      <w:szCs w:val="18"/>
    </w:rPr>
  </w:style>
  <w:style w:type="character" w:customStyle="1" w:styleId="19">
    <w:name w:val="页脚 Char"/>
    <w:basedOn w:val="12"/>
    <w:link w:val="8"/>
    <w:qFormat/>
    <w:uiPriority w:val="99"/>
    <w:rPr>
      <w:sz w:val="18"/>
      <w:szCs w:val="18"/>
    </w:rPr>
  </w:style>
  <w:style w:type="character" w:customStyle="1" w:styleId="20">
    <w:name w:val="尾注文本 Char"/>
    <w:basedOn w:val="12"/>
    <w:link w:val="6"/>
    <w:semiHidden/>
    <w:qFormat/>
    <w:uiPriority w:val="0"/>
    <w:rPr>
      <w:rFonts w:ascii="Times New Roman" w:hAnsi="Times New Roman" w:eastAsia="宋体" w:cs="Times New Roman"/>
      <w:szCs w:val="24"/>
    </w:rPr>
  </w:style>
  <w:style w:type="paragraph" w:customStyle="1" w:styleId="21">
    <w:name w:val="列表段落1"/>
    <w:basedOn w:val="1"/>
    <w:qFormat/>
    <w:uiPriority w:val="34"/>
    <w:pPr>
      <w:ind w:firstLine="420" w:firstLineChars="200"/>
    </w:pPr>
  </w:style>
  <w:style w:type="paragraph" w:customStyle="1" w:styleId="22">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9"/>
    <w:basedOn w:val="1"/>
    <w:qFormat/>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26">
    <w:name w:val="xl70"/>
    <w:basedOn w:val="1"/>
    <w:qFormat/>
    <w:uiPriority w:val="0"/>
    <w:pPr>
      <w:widowControl/>
      <w:spacing w:before="100" w:beforeAutospacing="1" w:after="100" w:afterAutospacing="1"/>
      <w:jc w:val="center"/>
    </w:pPr>
    <w:rPr>
      <w:rFonts w:ascii="方正仿宋简体" w:hAnsi="宋体" w:eastAsia="方正仿宋简体" w:cs="宋体"/>
      <w:kern w:val="0"/>
      <w:sz w:val="24"/>
      <w:szCs w:val="24"/>
    </w:rPr>
  </w:style>
  <w:style w:type="paragraph" w:customStyle="1" w:styleId="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4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4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character" w:customStyle="1" w:styleId="50">
    <w:name w:val="正文文本缩进 Char"/>
    <w:basedOn w:val="12"/>
    <w:link w:val="4"/>
    <w:qFormat/>
    <w:uiPriority w:val="0"/>
    <w:rPr>
      <w:rFonts w:ascii="Times New Roman" w:hAnsi="Times New Roman" w:eastAsia="华文中宋" w:cs="Times New Roman"/>
      <w:sz w:val="32"/>
      <w:szCs w:val="20"/>
    </w:rPr>
  </w:style>
  <w:style w:type="paragraph" w:customStyle="1" w:styleId="5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font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3">
    <w:name w:val="font9"/>
    <w:basedOn w:val="1"/>
    <w:qFormat/>
    <w:uiPriority w:val="0"/>
    <w:pPr>
      <w:widowControl/>
      <w:spacing w:before="100" w:beforeAutospacing="1" w:after="100" w:afterAutospacing="1"/>
      <w:jc w:val="left"/>
    </w:pPr>
    <w:rPr>
      <w:rFonts w:ascii="方正仿宋简体" w:hAnsi="宋体" w:eastAsia="方正仿宋简体" w:cs="宋体"/>
      <w:color w:val="000000"/>
      <w:kern w:val="0"/>
      <w:sz w:val="20"/>
      <w:szCs w:val="20"/>
    </w:rPr>
  </w:style>
  <w:style w:type="paragraph" w:customStyle="1" w:styleId="5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7">
    <w:name w:val="xl6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8">
    <w:name w:val="xl67"/>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9">
    <w:name w:val="xl6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character" w:customStyle="1" w:styleId="60">
    <w:name w:val="font2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1">
    <w:name w:val="font3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2">
    <w:name w:val="font0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3">
    <w:name w:val="font4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4">
    <w:name w:val="font11"/>
    <w:basedOn w:val="12"/>
    <w:qFormat/>
    <w:uiPriority w:val="0"/>
    <w:rPr>
      <w:rFonts w:ascii="宋体-简" w:hAnsi="宋体-简" w:eastAsia="宋体-简" w:cs="宋体-简"/>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CPCSE</Company>
  <Pages>14</Pages>
  <Words>972</Words>
  <Characters>5545</Characters>
  <Lines>46</Lines>
  <Paragraphs>13</Paragraphs>
  <TotalTime>2</TotalTime>
  <ScaleCrop>false</ScaleCrop>
  <LinksUpToDate>false</LinksUpToDate>
  <CharactersWithSpaces>6504</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2022-10-16T11:15:00Z</dcterms:created>
  <dc:creator>lenovo</dc:creator>
  <cp:lastModifiedBy>✨K_K✨</cp:lastModifiedBy>
  <cp:lastPrinted>2022-10-16T09:20:00Z</cp:lastPrinted>
  <dcterms:modified xsi:type="dcterms:W3CDTF">2024-04-15T17:38:01Z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DB8DA64A85490CE979F51C66DBB1F0FB_43</vt:lpwstr>
  </property>
</Properties>
</file>