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50C" w:rsidRDefault="005F050C" w:rsidP="005F050C">
      <w:pPr>
        <w:pStyle w:val="1"/>
        <w:shd w:val="clear" w:color="auto" w:fill="FFFFFF"/>
        <w:wordWrap w:val="0"/>
        <w:spacing w:before="0" w:beforeAutospacing="0" w:after="0" w:afterAutospacing="0" w:line="675" w:lineRule="atLeast"/>
        <w:jc w:val="center"/>
        <w:rPr>
          <w:rFonts w:ascii="方正小标宋简体" w:eastAsia="方正小标宋简体" w:hint="eastAsia"/>
          <w:b w:val="0"/>
          <w:bCs w:val="0"/>
          <w:color w:val="333333"/>
          <w:sz w:val="44"/>
          <w:szCs w:val="44"/>
        </w:rPr>
      </w:pPr>
      <w:r w:rsidRPr="005F050C">
        <w:rPr>
          <w:rFonts w:ascii="方正小标宋简体" w:eastAsia="方正小标宋简体" w:hint="eastAsia"/>
          <w:b w:val="0"/>
          <w:bCs w:val="0"/>
          <w:color w:val="333333"/>
          <w:sz w:val="44"/>
          <w:szCs w:val="44"/>
        </w:rPr>
        <w:t>国家税务总局关于进一步</w:t>
      </w:r>
      <w:proofErr w:type="gramStart"/>
      <w:r w:rsidRPr="005F050C">
        <w:rPr>
          <w:rFonts w:ascii="方正小标宋简体" w:eastAsia="方正小标宋简体" w:hint="eastAsia"/>
          <w:b w:val="0"/>
          <w:bCs w:val="0"/>
          <w:color w:val="333333"/>
          <w:sz w:val="44"/>
          <w:szCs w:val="44"/>
        </w:rPr>
        <w:t>明确营改增</w:t>
      </w:r>
      <w:proofErr w:type="gramEnd"/>
    </w:p>
    <w:p w:rsidR="005F050C" w:rsidRPr="005F050C" w:rsidRDefault="005F050C" w:rsidP="005F050C">
      <w:pPr>
        <w:pStyle w:val="1"/>
        <w:shd w:val="clear" w:color="auto" w:fill="FFFFFF"/>
        <w:wordWrap w:val="0"/>
        <w:spacing w:before="0" w:beforeAutospacing="0" w:after="0" w:afterAutospacing="0" w:line="675" w:lineRule="atLeast"/>
        <w:jc w:val="center"/>
        <w:rPr>
          <w:rFonts w:ascii="方正小标宋简体" w:eastAsia="方正小标宋简体" w:hint="eastAsia"/>
          <w:b w:val="0"/>
          <w:bCs w:val="0"/>
          <w:color w:val="333333"/>
          <w:sz w:val="44"/>
          <w:szCs w:val="44"/>
        </w:rPr>
      </w:pPr>
      <w:r w:rsidRPr="005F050C">
        <w:rPr>
          <w:rFonts w:ascii="方正小标宋简体" w:eastAsia="方正小标宋简体" w:hint="eastAsia"/>
          <w:b w:val="0"/>
          <w:bCs w:val="0"/>
          <w:color w:val="333333"/>
          <w:sz w:val="44"/>
          <w:szCs w:val="44"/>
        </w:rPr>
        <w:t>有关征管问题的公告</w:t>
      </w:r>
    </w:p>
    <w:p w:rsidR="005F050C" w:rsidRPr="005F050C" w:rsidRDefault="005F050C" w:rsidP="005F050C">
      <w:pPr>
        <w:widowControl/>
        <w:shd w:val="clear" w:color="auto" w:fill="FFFFFF"/>
        <w:spacing w:before="100" w:beforeAutospacing="1" w:after="100" w:afterAutospacing="1" w:line="480" w:lineRule="atLeast"/>
        <w:ind w:firstLineChars="200" w:firstLine="600"/>
        <w:jc w:val="left"/>
        <w:rPr>
          <w:rFonts w:ascii="方正仿宋简体" w:eastAsia="方正仿宋简体" w:hAnsi="宋体" w:cs="宋体" w:hint="eastAsia"/>
          <w:color w:val="333333"/>
          <w:kern w:val="0"/>
          <w:sz w:val="30"/>
          <w:szCs w:val="30"/>
        </w:rPr>
      </w:pPr>
      <w:r w:rsidRPr="005F050C">
        <w:rPr>
          <w:rFonts w:ascii="方正仿宋简体" w:eastAsia="方正仿宋简体" w:hAnsi="宋体" w:cs="宋体" w:hint="eastAsia"/>
          <w:color w:val="333333"/>
          <w:kern w:val="0"/>
          <w:sz w:val="30"/>
          <w:szCs w:val="30"/>
        </w:rPr>
        <w:t>为进一步</w:t>
      </w:r>
      <w:proofErr w:type="gramStart"/>
      <w:r w:rsidRPr="005F050C">
        <w:rPr>
          <w:rFonts w:ascii="方正仿宋简体" w:eastAsia="方正仿宋简体" w:hAnsi="宋体" w:cs="宋体" w:hint="eastAsia"/>
          <w:color w:val="333333"/>
          <w:kern w:val="0"/>
          <w:sz w:val="30"/>
          <w:szCs w:val="30"/>
        </w:rPr>
        <w:t>明确营改增试点</w:t>
      </w:r>
      <w:proofErr w:type="gramEnd"/>
      <w:r w:rsidRPr="005F050C">
        <w:rPr>
          <w:rFonts w:ascii="方正仿宋简体" w:eastAsia="方正仿宋简体" w:hAnsi="宋体" w:cs="宋体" w:hint="eastAsia"/>
          <w:color w:val="333333"/>
          <w:kern w:val="0"/>
          <w:sz w:val="30"/>
          <w:szCs w:val="30"/>
        </w:rPr>
        <w:t>运行中反映的有关征管问题，现将有关事项公告如下：</w:t>
      </w:r>
      <w:r w:rsidRPr="005F050C">
        <w:rPr>
          <w:rFonts w:ascii="方正仿宋简体" w:eastAsia="方正仿宋简体" w:hAnsi="宋体" w:cs="宋体" w:hint="eastAsia"/>
          <w:color w:val="333333"/>
          <w:kern w:val="0"/>
          <w:sz w:val="30"/>
          <w:szCs w:val="30"/>
        </w:rPr>
        <w:br/>
      </w:r>
      <w:r>
        <w:rPr>
          <w:rFonts w:ascii="宋体" w:eastAsia="方正仿宋简体" w:hAnsi="宋体" w:cs="宋体" w:hint="eastAsia"/>
          <w:color w:val="333333"/>
          <w:kern w:val="0"/>
          <w:sz w:val="30"/>
          <w:szCs w:val="30"/>
        </w:rPr>
        <w:t xml:space="preserve">  </w:t>
      </w:r>
      <w:r w:rsidRPr="005F050C">
        <w:rPr>
          <w:rFonts w:ascii="方正仿宋简体" w:eastAsia="方正仿宋简体" w:hAnsi="宋体" w:cs="宋体" w:hint="eastAsia"/>
          <w:color w:val="333333"/>
          <w:kern w:val="0"/>
          <w:sz w:val="30"/>
          <w:szCs w:val="30"/>
        </w:rPr>
        <w:t xml:space="preserve"> 一、纳税人销售活动板房、机器设备、钢结构件等自产货物的同时提供建筑、安装服务，不属于《营业税改征增值税试点实施办法》（财税〔2016〕36号文件印发）第四十条规定的混合销售，应分别核算货物和建筑服务的销售额，分别适用不同的税率或者征收率。</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二、建筑企业与发包方签订建筑合同后，以内部授权或者三方协议等方式，授权集团内其他纳税人（以下称“第三方”）为发包方提供建筑服务，并由第三方直接与发包方结算工程款的，由第三方缴纳增值税并向发包方开具增值税发票，与发包方签订建筑合同的建筑企业不缴纳增值税。发包方可凭实际提供建筑服务的纳税人开具的增值税专用发票抵扣进项税额。</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三、纳税人在同一地级行政区范围内跨县（市、区）提供建筑服务，不适用《纳税人跨县（市、区）提供建筑服务增值税征收管理暂行办法》（国家税务总局公告2016年第17号印发）。</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四、一般纳税人销售电梯的同时提供安装服务，其安装服务可以按照</w:t>
      </w:r>
      <w:proofErr w:type="gramStart"/>
      <w:r w:rsidRPr="005F050C">
        <w:rPr>
          <w:rFonts w:ascii="方正仿宋简体" w:eastAsia="方正仿宋简体" w:hAnsi="宋体" w:cs="宋体" w:hint="eastAsia"/>
          <w:color w:val="333333"/>
          <w:kern w:val="0"/>
          <w:sz w:val="30"/>
          <w:szCs w:val="30"/>
        </w:rPr>
        <w:t>甲供工程</w:t>
      </w:r>
      <w:proofErr w:type="gramEnd"/>
      <w:r w:rsidRPr="005F050C">
        <w:rPr>
          <w:rFonts w:ascii="方正仿宋简体" w:eastAsia="方正仿宋简体" w:hAnsi="宋体" w:cs="宋体" w:hint="eastAsia"/>
          <w:color w:val="333333"/>
          <w:kern w:val="0"/>
          <w:sz w:val="30"/>
          <w:szCs w:val="30"/>
        </w:rPr>
        <w:t>选择适用简易计税方法计税。</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纳税人对安装运行后的电梯提供的维护保养服务，按照“其</w:t>
      </w:r>
      <w:r w:rsidRPr="005F050C">
        <w:rPr>
          <w:rFonts w:ascii="方正仿宋简体" w:eastAsia="方正仿宋简体" w:hAnsi="宋体" w:cs="宋体" w:hint="eastAsia"/>
          <w:color w:val="333333"/>
          <w:kern w:val="0"/>
          <w:sz w:val="30"/>
          <w:szCs w:val="30"/>
        </w:rPr>
        <w:lastRenderedPageBreak/>
        <w:t>他现代服务”缴纳增值税。</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 xml:space="preserve"> 五、纳税人提供植物养护服务，按照“其他生活服务”缴纳增值税。</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 xml:space="preserve"> 六、发卡机构、清算机构和收单机构提供银行卡跨机构资金清算服务，按照以下规定执行：</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Pr>
          <w:rFonts w:ascii="宋体" w:eastAsia="方正仿宋简体" w:hAnsi="宋体" w:cs="宋体" w:hint="eastAsia"/>
          <w:color w:val="333333"/>
          <w:kern w:val="0"/>
          <w:sz w:val="30"/>
          <w:szCs w:val="30"/>
        </w:rPr>
        <w:t xml:space="preserve"> </w:t>
      </w:r>
      <w:r w:rsidRPr="005F050C">
        <w:rPr>
          <w:rFonts w:ascii="方正仿宋简体" w:eastAsia="方正仿宋简体" w:hAnsi="宋体" w:cs="宋体" w:hint="eastAsia"/>
          <w:color w:val="333333"/>
          <w:kern w:val="0"/>
          <w:sz w:val="30"/>
          <w:szCs w:val="30"/>
        </w:rPr>
        <w:t>（一）发卡机构以其向收单机构收取的发卡行服务费为销售额，并按照此销售额向清算机构开具增值税发票。</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Pr>
          <w:rFonts w:ascii="宋体" w:eastAsia="方正仿宋简体" w:hAnsi="宋体" w:cs="宋体" w:hint="eastAsia"/>
          <w:color w:val="333333"/>
          <w:kern w:val="0"/>
          <w:sz w:val="30"/>
          <w:szCs w:val="30"/>
        </w:rPr>
        <w:t xml:space="preserve"> </w:t>
      </w:r>
      <w:r w:rsidRPr="005F050C">
        <w:rPr>
          <w:rFonts w:ascii="方正仿宋简体" w:eastAsia="方正仿宋简体" w:hAnsi="宋体" w:cs="宋体" w:hint="eastAsia"/>
          <w:color w:val="333333"/>
          <w:kern w:val="0"/>
          <w:sz w:val="30"/>
          <w:szCs w:val="30"/>
        </w:rPr>
        <w:t>（二）清算机构以其向发卡机构、收单机构收取的网络服务费为销售额，并按照发卡机构支付的网络服务费向发卡机构开具增值税发票，按照收单机构支付的网络服务费向收单机构开具增值税发票。</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清算机构从发卡机构取得的增值税发票上记载的发卡行服务费，一并计入清算机构的销售额，并由清算机构按照此销售额向收单机构开具增值税发票。</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（三）收单机构以其向商户收取的收单服务费为销售额，并按照此销售额向商户开具增值税发票。</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七、纳税人2016年5月1日前发生的营业税涉税业务，需要补开发票的，可于2017年12月31日前开具增值税普通发票（税务总局另有规定的除外）。</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八、实行实名办税的地区，已由税务机关现场采集法定代表人（业主、负责人）实名信息的纳税人，申请增值税专用发票最高开票限额不超过十万元的，主管国税机关应自受理申请之日起</w:t>
      </w:r>
      <w:r w:rsidRPr="005F050C">
        <w:rPr>
          <w:rFonts w:ascii="方正仿宋简体" w:eastAsia="方正仿宋简体" w:hAnsi="宋体" w:cs="宋体" w:hint="eastAsia"/>
          <w:color w:val="333333"/>
          <w:kern w:val="0"/>
          <w:sz w:val="30"/>
          <w:szCs w:val="30"/>
        </w:rPr>
        <w:lastRenderedPageBreak/>
        <w:t>2个工作日内办结，有条件的主管国税机关即时办结。即时办结的，直接出具和送达《准予税务行政许可决定书》，不再出具《税务行政许可受理通知书》。</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九、自2017年6月1日起，将建筑业纳入增值税小规模纳税人自行开具增值税专用发票试点范围。月销售额超过3万元（或季销售额超过9万元）的建筑业增值税小规模纳税人（以下称“自开发票试点纳税人”）提供建筑服务、销售货物或发生其他增值税应税行为，需要开具增值税专用发票的，通过增值税发票管理新系统自行开具。</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自开发票试点纳税人销售其取得的不动产，需要开具增值税专用发票的，仍须向地税机关申请代开。</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自开发票试点纳税人所开具的增值税专用发票应缴纳的税款，应在规定的纳税申报期内，向主管国税机关申报纳税。在填写增值税纳税申报表时，应将当期开具增值税专用发票的销售额，按照3%和5%的征收率，分别填写在《增值税纳税申报表》（小规模纳税人适用）第2栏和第5栏“税务机关代开的增值税专用发票不含税销售额”的“本期数”相应栏次中。</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十、自2017年7月1日起，增值税一般纳税人取得的2017年7月1日及以后开具的增值税专用发票和机动车销售统一发票，应自开具之日起360日内认证或登录增值税发票选择确认平台进行确认，并在规定的纳税申报期内，向主管国税机关申报抵扣进项税额。</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lastRenderedPageBreak/>
        <w:t>  </w:t>
      </w:r>
      <w:r w:rsidRPr="005F050C">
        <w:rPr>
          <w:rFonts w:ascii="方正仿宋简体" w:eastAsia="方正仿宋简体" w:hAnsi="宋体" w:cs="宋体" w:hint="eastAsia"/>
          <w:color w:val="333333"/>
          <w:kern w:val="0"/>
          <w:sz w:val="30"/>
          <w:szCs w:val="30"/>
        </w:rPr>
        <w:t>增值税一般纳税人取得的2017年7月1日及以后开具的海关进口增值税专用缴款书，应自开具之日起360日内向主管国税机关报送《海关完税凭证抵扣清单》，申请稽核比对。</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纳税人取得的2017年6月30日前开具的增值税扣税凭证，仍按《国家税务总局关于调整增值税扣税凭证抵扣期限有关问题的通知》（国税函〔2009〕617号）执行。</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除本公告第九条和第十条以外，其他条款自2017年5月1日起施行。此前已发生未处理的事项，按照本公告规定执行。</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特此公告。</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p>
    <w:p w:rsidR="005F050C" w:rsidRPr="005F050C" w:rsidRDefault="005F050C" w:rsidP="005F050C">
      <w:pPr>
        <w:widowControl/>
        <w:shd w:val="clear" w:color="auto" w:fill="FFFFFF"/>
        <w:spacing w:before="100" w:beforeAutospacing="1" w:after="100" w:afterAutospacing="1" w:line="480" w:lineRule="atLeast"/>
        <w:ind w:firstLineChars="200" w:firstLine="600"/>
        <w:jc w:val="left"/>
        <w:rPr>
          <w:rFonts w:ascii="方正仿宋简体" w:eastAsia="方正仿宋简体" w:hAnsi="宋体" w:cs="宋体" w:hint="eastAsia"/>
          <w:color w:val="333333"/>
          <w:kern w:val="0"/>
          <w:sz w:val="30"/>
          <w:szCs w:val="30"/>
        </w:rPr>
      </w:pPr>
      <w:r w:rsidRPr="005F050C">
        <w:rPr>
          <w:rFonts w:ascii="宋体" w:eastAsia="方正仿宋简体" w:hAnsi="宋体" w:cs="宋体" w:hint="eastAsia"/>
          <w:color w:val="333333"/>
          <w:kern w:val="0"/>
          <w:sz w:val="30"/>
          <w:szCs w:val="30"/>
        </w:rPr>
        <w:t> </w:t>
      </w:r>
    </w:p>
    <w:p w:rsidR="005F050C" w:rsidRPr="005F050C" w:rsidRDefault="005F050C" w:rsidP="005F050C">
      <w:pPr>
        <w:widowControl/>
        <w:shd w:val="clear" w:color="auto" w:fill="FFFFFF"/>
        <w:spacing w:before="100" w:beforeAutospacing="1" w:after="100" w:afterAutospacing="1" w:line="480" w:lineRule="atLeast"/>
        <w:ind w:firstLineChars="200" w:firstLine="600"/>
        <w:jc w:val="left"/>
        <w:rPr>
          <w:rFonts w:ascii="方正仿宋简体" w:eastAsia="方正仿宋简体" w:hAnsi="宋体" w:cs="宋体" w:hint="eastAsia"/>
          <w:color w:val="333333"/>
          <w:kern w:val="0"/>
          <w:sz w:val="30"/>
          <w:szCs w:val="30"/>
        </w:rPr>
      </w:pPr>
      <w:r w:rsidRPr="005F050C">
        <w:rPr>
          <w:rFonts w:ascii="宋体" w:eastAsia="方正仿宋简体" w:hAnsi="宋体" w:cs="宋体" w:hint="eastAsia"/>
          <w:color w:val="333333"/>
          <w:kern w:val="0"/>
          <w:sz w:val="30"/>
          <w:szCs w:val="30"/>
        </w:rPr>
        <w:t>                                                          </w:t>
      </w:r>
      <w:r>
        <w:rPr>
          <w:rFonts w:ascii="宋体" w:eastAsia="方正仿宋简体" w:hAnsi="宋体" w:cs="宋体" w:hint="eastAsia"/>
          <w:color w:val="333333"/>
          <w:kern w:val="0"/>
          <w:sz w:val="30"/>
          <w:szCs w:val="30"/>
        </w:rPr>
        <w:t xml:space="preserve">                     </w:t>
      </w:r>
      <w:r w:rsidRPr="005F050C">
        <w:rPr>
          <w:rFonts w:ascii="方正仿宋简体" w:eastAsia="方正仿宋简体" w:hAnsi="宋体" w:cs="宋体" w:hint="eastAsia"/>
          <w:color w:val="333333"/>
          <w:kern w:val="0"/>
          <w:sz w:val="30"/>
          <w:szCs w:val="30"/>
        </w:rPr>
        <w:t>国家税务总局</w:t>
      </w:r>
      <w:r w:rsidRPr="005F050C">
        <w:rPr>
          <w:rFonts w:ascii="方正仿宋简体" w:eastAsia="方正仿宋简体" w:hAnsi="宋体" w:cs="宋体" w:hint="eastAsia"/>
          <w:color w:val="333333"/>
          <w:kern w:val="0"/>
          <w:sz w:val="30"/>
          <w:szCs w:val="30"/>
        </w:rPr>
        <w:br/>
      </w:r>
      <w:r w:rsidRPr="005F050C">
        <w:rPr>
          <w:rFonts w:ascii="宋体" w:eastAsia="方正仿宋简体" w:hAnsi="宋体" w:cs="宋体" w:hint="eastAsia"/>
          <w:color w:val="333333"/>
          <w:kern w:val="0"/>
          <w:sz w:val="30"/>
          <w:szCs w:val="30"/>
        </w:rPr>
        <w:t> </w:t>
      </w:r>
      <w:r>
        <w:rPr>
          <w:rFonts w:ascii="宋体" w:eastAsia="方正仿宋简体" w:hAnsi="宋体" w:cs="宋体" w:hint="eastAsia"/>
          <w:color w:val="333333"/>
          <w:kern w:val="0"/>
          <w:sz w:val="30"/>
          <w:szCs w:val="30"/>
        </w:rPr>
        <w:t>              </w:t>
      </w:r>
      <w:r w:rsidRPr="005F050C">
        <w:rPr>
          <w:rFonts w:ascii="宋体" w:eastAsia="方正仿宋简体" w:hAnsi="宋体" w:cs="宋体" w:hint="eastAsia"/>
          <w:color w:val="333333"/>
          <w:kern w:val="0"/>
          <w:sz w:val="30"/>
          <w:szCs w:val="30"/>
        </w:rPr>
        <w:t> </w:t>
      </w:r>
      <w:r w:rsidRPr="005F050C">
        <w:rPr>
          <w:rFonts w:ascii="方正仿宋简体" w:eastAsia="方正仿宋简体" w:hAnsi="宋体" w:cs="宋体" w:hint="eastAsia"/>
          <w:color w:val="333333"/>
          <w:kern w:val="0"/>
          <w:sz w:val="30"/>
          <w:szCs w:val="30"/>
        </w:rPr>
        <w:t>2017年4月20日</w:t>
      </w:r>
    </w:p>
    <w:p w:rsidR="001444A7" w:rsidRPr="005F050C" w:rsidRDefault="001444A7" w:rsidP="005F050C">
      <w:pPr>
        <w:ind w:firstLineChars="200" w:firstLine="600"/>
        <w:rPr>
          <w:rFonts w:ascii="方正仿宋简体" w:eastAsia="方正仿宋简体" w:hint="eastAsia"/>
          <w:sz w:val="30"/>
          <w:szCs w:val="30"/>
        </w:rPr>
      </w:pPr>
    </w:p>
    <w:sectPr w:rsidR="001444A7" w:rsidRPr="005F050C" w:rsidSect="001444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050C"/>
    <w:rsid w:val="001444A7"/>
    <w:rsid w:val="005F05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4A7"/>
    <w:pPr>
      <w:widowControl w:val="0"/>
      <w:jc w:val="both"/>
    </w:pPr>
  </w:style>
  <w:style w:type="paragraph" w:styleId="1">
    <w:name w:val="heading 1"/>
    <w:basedOn w:val="a"/>
    <w:link w:val="1Char"/>
    <w:uiPriority w:val="9"/>
    <w:qFormat/>
    <w:rsid w:val="005F050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F050C"/>
    <w:rPr>
      <w:rFonts w:ascii="宋体" w:eastAsia="宋体" w:hAnsi="宋体" w:cs="宋体"/>
      <w:b/>
      <w:bCs/>
      <w:kern w:val="36"/>
      <w:sz w:val="48"/>
      <w:szCs w:val="48"/>
    </w:rPr>
  </w:style>
  <w:style w:type="paragraph" w:customStyle="1" w:styleId="p21">
    <w:name w:val="p21"/>
    <w:basedOn w:val="a"/>
    <w:rsid w:val="005F050C"/>
    <w:pPr>
      <w:widowControl/>
      <w:spacing w:before="100" w:beforeAutospacing="1" w:after="100" w:afterAutospacing="1" w:line="480" w:lineRule="atLeast"/>
      <w:jc w:val="left"/>
    </w:pPr>
    <w:rPr>
      <w:rFonts w:ascii="宋体" w:eastAsia="宋体" w:hAnsi="宋体" w:cs="宋体"/>
      <w:color w:val="666666"/>
      <w:kern w:val="0"/>
      <w:sz w:val="18"/>
      <w:szCs w:val="18"/>
    </w:rPr>
  </w:style>
</w:styles>
</file>

<file path=word/webSettings.xml><?xml version="1.0" encoding="utf-8"?>
<w:webSettings xmlns:r="http://schemas.openxmlformats.org/officeDocument/2006/relationships" xmlns:w="http://schemas.openxmlformats.org/wordprocessingml/2006/main">
  <w:divs>
    <w:div w:id="1192689899">
      <w:bodyDiv w:val="1"/>
      <w:marLeft w:val="0"/>
      <w:marRight w:val="0"/>
      <w:marTop w:val="0"/>
      <w:marBottom w:val="0"/>
      <w:divBdr>
        <w:top w:val="none" w:sz="0" w:space="0" w:color="auto"/>
        <w:left w:val="none" w:sz="0" w:space="0" w:color="auto"/>
        <w:bottom w:val="none" w:sz="0" w:space="0" w:color="auto"/>
        <w:right w:val="none" w:sz="0" w:space="0" w:color="auto"/>
      </w:divBdr>
    </w:div>
    <w:div w:id="1264336205">
      <w:bodyDiv w:val="1"/>
      <w:marLeft w:val="0"/>
      <w:marRight w:val="0"/>
      <w:marTop w:val="0"/>
      <w:marBottom w:val="0"/>
      <w:divBdr>
        <w:top w:val="none" w:sz="0" w:space="0" w:color="auto"/>
        <w:left w:val="none" w:sz="0" w:space="0" w:color="auto"/>
        <w:bottom w:val="none" w:sz="0" w:space="0" w:color="auto"/>
        <w:right w:val="none" w:sz="0" w:space="0" w:color="auto"/>
      </w:divBdr>
      <w:divsChild>
        <w:div w:id="1395737597">
          <w:marLeft w:val="0"/>
          <w:marRight w:val="0"/>
          <w:marTop w:val="0"/>
          <w:marBottom w:val="0"/>
          <w:divBdr>
            <w:top w:val="none" w:sz="0" w:space="0" w:color="auto"/>
            <w:left w:val="none" w:sz="0" w:space="0" w:color="auto"/>
            <w:bottom w:val="none" w:sz="0" w:space="0" w:color="auto"/>
            <w:right w:val="none" w:sz="0" w:space="0" w:color="auto"/>
          </w:divBdr>
          <w:divsChild>
            <w:div w:id="1419324585">
              <w:marLeft w:val="0"/>
              <w:marRight w:val="0"/>
              <w:marTop w:val="0"/>
              <w:marBottom w:val="0"/>
              <w:divBdr>
                <w:top w:val="single" w:sz="6" w:space="0" w:color="BDD2ED"/>
                <w:left w:val="single" w:sz="6" w:space="24" w:color="BDD2ED"/>
                <w:bottom w:val="single" w:sz="6" w:space="0" w:color="BDD2ED"/>
                <w:right w:val="single" w:sz="6" w:space="24" w:color="BDD2ED"/>
              </w:divBdr>
              <w:divsChild>
                <w:div w:id="180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286</Words>
  <Characters>1634</Characters>
  <Application>Microsoft Office Word</Application>
  <DocSecurity>0</DocSecurity>
  <Lines>13</Lines>
  <Paragraphs>3</Paragraphs>
  <ScaleCrop>false</ScaleCrop>
  <Company>Lenovo</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2017-04-21T07:34:00Z</dcterms:created>
  <dcterms:modified xsi:type="dcterms:W3CDTF">2017-04-21T07:40:00Z</dcterms:modified>
</cp:coreProperties>
</file>