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52" w:rsidRPr="00AC2052" w:rsidRDefault="00AC2052" w:rsidP="00AC2052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AC2052">
        <w:rPr>
          <w:rFonts w:ascii="方正仿宋简体" w:eastAsia="方正仿宋简体" w:hAnsi="CG Times" w:cs="CG Times" w:hint="eastAsia"/>
          <w:sz w:val="32"/>
          <w:szCs w:val="32"/>
        </w:rPr>
        <w:t>附件5：</w:t>
      </w:r>
    </w:p>
    <w:p w:rsidR="00AC2052" w:rsidRPr="00AC2052" w:rsidRDefault="00AC2052" w:rsidP="00AC2052">
      <w:pPr>
        <w:autoSpaceDE w:val="0"/>
        <w:autoSpaceDN w:val="0"/>
        <w:adjustRightInd w:val="0"/>
        <w:ind w:firstLineChars="200" w:firstLine="640"/>
        <w:jc w:val="left"/>
        <w:rPr>
          <w:rFonts w:ascii="Arial Unicode MS" w:eastAsia="Arial Unicode MS" w:hAnsi="等线" w:cs="Arial Unicode MS"/>
          <w:color w:val="000000"/>
          <w:kern w:val="0"/>
          <w:sz w:val="32"/>
          <w:szCs w:val="32"/>
        </w:rPr>
      </w:pPr>
    </w:p>
    <w:p w:rsidR="00AC2052" w:rsidRPr="00AC2052" w:rsidRDefault="00AC2052" w:rsidP="00AC2052">
      <w:pPr>
        <w:autoSpaceDE w:val="0"/>
        <w:autoSpaceDN w:val="0"/>
        <w:adjustRightInd w:val="0"/>
        <w:ind w:firstLineChars="200" w:firstLine="640"/>
        <w:jc w:val="left"/>
        <w:rPr>
          <w:rFonts w:ascii="Arial Unicode MS" w:eastAsia="Arial Unicode MS" w:hAnsi="等线" w:cs="Arial Unicode MS"/>
          <w:color w:val="000000"/>
          <w:kern w:val="0"/>
          <w:sz w:val="32"/>
          <w:szCs w:val="32"/>
        </w:rPr>
      </w:pPr>
      <w:r w:rsidRPr="00AC2052">
        <w:rPr>
          <w:rFonts w:ascii="Arial Unicode MS" w:eastAsia="Arial Unicode MS" w:hAnsi="等线" w:cs="Arial Unicode MS"/>
          <w:color w:val="000000"/>
          <w:kern w:val="0"/>
          <w:sz w:val="32"/>
          <w:szCs w:val="32"/>
        </w:rPr>
        <w:t>201</w:t>
      </w:r>
      <w:r w:rsidRPr="00AC2052">
        <w:rPr>
          <w:rFonts w:ascii="Arial Unicode MS" w:eastAsia="Arial Unicode MS" w:hAnsi="等线" w:cs="Arial Unicode MS" w:hint="eastAsia"/>
          <w:color w:val="000000"/>
          <w:kern w:val="0"/>
          <w:sz w:val="32"/>
          <w:szCs w:val="32"/>
        </w:rPr>
        <w:t>8年压力容器检验师取证考试主要相关法规标准目录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1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法规、部门规章和安全技术规范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1.1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中华人民共和国特种设备安全法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1.2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特种设备安全监察条例（国务院令第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549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号）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1.3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固定式压力容器安全技术监察规程（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TSG 21-2016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1.4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移动式压力容器安全技术监察规程（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TSG R0005-2011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1.5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气瓶安全技术监察规程（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TSG R0006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－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2014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1.6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压力容器压力管道设计许可规则（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TSG R1001-2008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1.7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压力容器安装改造维修许可规则（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TSG R3001-2006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1.8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特种设备使用管理规则（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TSG08-2017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1.9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特种设备焊接操作人员考核细则（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TSG Z6002-2010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1.10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特种设备制造安装改造维修质量保证体系基本要求（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TSG Z0004-2007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1.11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氧</w:t>
      </w:r>
      <w:proofErr w:type="gramStart"/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舱安全</w:t>
      </w:r>
      <w:proofErr w:type="gramEnd"/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技术监察规程（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TSG 24-2015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技术标准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2.1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压力容器（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GB150-2011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Cs w:val="21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2.2 </w:t>
      </w:r>
      <w:r w:rsidRPr="00AC2052">
        <w:rPr>
          <w:rFonts w:ascii="宋体" w:eastAsia="宋体" w:hAnsi="等线" w:cs="宋体" w:hint="eastAsia"/>
          <w:color w:val="000000"/>
          <w:kern w:val="0"/>
          <w:szCs w:val="21"/>
        </w:rPr>
        <w:t>热交换器（</w:t>
      </w:r>
      <w:r w:rsidRPr="00AC2052">
        <w:rPr>
          <w:rFonts w:ascii="宋体" w:eastAsia="宋体" w:hAnsi="等线" w:cs="宋体"/>
          <w:color w:val="000000"/>
          <w:kern w:val="0"/>
          <w:szCs w:val="21"/>
        </w:rPr>
        <w:t>GB/T 151</w:t>
      </w:r>
      <w:r w:rsidRPr="00AC2052">
        <w:rPr>
          <w:rFonts w:ascii="Arial Unicode MS" w:eastAsia="宋体" w:hAnsi="等线" w:cs="Arial Unicode MS"/>
          <w:color w:val="000000"/>
          <w:kern w:val="0"/>
          <w:szCs w:val="21"/>
        </w:rPr>
        <w:t>—</w:t>
      </w:r>
      <w:r w:rsidRPr="00AC2052">
        <w:rPr>
          <w:rFonts w:ascii="宋体" w:eastAsia="宋体" w:hAnsi="等线" w:cs="宋体"/>
          <w:color w:val="000000"/>
          <w:kern w:val="0"/>
          <w:szCs w:val="21"/>
        </w:rPr>
        <w:t>2014</w:t>
      </w:r>
      <w:r w:rsidRPr="00AC2052">
        <w:rPr>
          <w:rFonts w:ascii="宋体" w:eastAsia="宋体" w:hAnsi="等线" w:cs="宋体" w:hint="eastAsia"/>
          <w:color w:val="000000"/>
          <w:kern w:val="0"/>
          <w:szCs w:val="21"/>
        </w:rPr>
        <w:t>）</w:t>
      </w:r>
      <w:r w:rsidRPr="00AC2052">
        <w:rPr>
          <w:rFonts w:ascii="宋体" w:eastAsia="宋体" w:hAnsi="等线" w:cs="宋体"/>
          <w:color w:val="000000"/>
          <w:kern w:val="0"/>
          <w:szCs w:val="21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Cs w:val="21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2.3 </w:t>
      </w:r>
      <w:r w:rsidRPr="00AC2052">
        <w:rPr>
          <w:rFonts w:ascii="宋体" w:eastAsia="宋体" w:hAnsi="等线" w:cs="宋体" w:hint="eastAsia"/>
          <w:color w:val="000000"/>
          <w:kern w:val="0"/>
          <w:szCs w:val="21"/>
        </w:rPr>
        <w:t>塔式容器（</w:t>
      </w:r>
      <w:r w:rsidRPr="00AC2052">
        <w:rPr>
          <w:rFonts w:ascii="宋体" w:eastAsia="宋体" w:hAnsi="等线" w:cs="宋体"/>
          <w:color w:val="000000"/>
          <w:kern w:val="0"/>
          <w:szCs w:val="21"/>
        </w:rPr>
        <w:t>NB/T 47041</w:t>
      </w:r>
      <w:r w:rsidRPr="00AC2052">
        <w:rPr>
          <w:rFonts w:ascii="Arial Unicode MS" w:eastAsia="宋体" w:hAnsi="等线" w:cs="Arial Unicode MS"/>
          <w:color w:val="000000"/>
          <w:kern w:val="0"/>
          <w:szCs w:val="21"/>
        </w:rPr>
        <w:t>—</w:t>
      </w:r>
      <w:r w:rsidRPr="00AC2052">
        <w:rPr>
          <w:rFonts w:ascii="宋体" w:eastAsia="宋体" w:hAnsi="等线" w:cs="宋体"/>
          <w:color w:val="000000"/>
          <w:kern w:val="0"/>
          <w:szCs w:val="21"/>
        </w:rPr>
        <w:t>2014</w:t>
      </w:r>
      <w:r w:rsidRPr="00AC2052">
        <w:rPr>
          <w:rFonts w:ascii="宋体" w:eastAsia="宋体" w:hAnsi="等线" w:cs="宋体" w:hint="eastAsia"/>
          <w:color w:val="000000"/>
          <w:kern w:val="0"/>
          <w:szCs w:val="21"/>
        </w:rPr>
        <w:t>）</w:t>
      </w:r>
      <w:r w:rsidRPr="00AC2052">
        <w:rPr>
          <w:rFonts w:ascii="宋体" w:eastAsia="宋体" w:hAnsi="等线" w:cs="宋体"/>
          <w:color w:val="000000"/>
          <w:kern w:val="0"/>
          <w:szCs w:val="21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Cs w:val="21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2.4 </w:t>
      </w:r>
      <w:r w:rsidRPr="00AC2052">
        <w:rPr>
          <w:rFonts w:ascii="宋体" w:eastAsia="宋体" w:hAnsi="等线" w:cs="宋体" w:hint="eastAsia"/>
          <w:color w:val="000000"/>
          <w:kern w:val="0"/>
          <w:szCs w:val="21"/>
        </w:rPr>
        <w:t>卧式容器（</w:t>
      </w:r>
      <w:r w:rsidRPr="00AC2052">
        <w:rPr>
          <w:rFonts w:ascii="宋体" w:eastAsia="宋体" w:hAnsi="等线" w:cs="宋体"/>
          <w:color w:val="000000"/>
          <w:kern w:val="0"/>
          <w:szCs w:val="21"/>
        </w:rPr>
        <w:t>NB/T 47042</w:t>
      </w:r>
      <w:r w:rsidRPr="00AC2052">
        <w:rPr>
          <w:rFonts w:ascii="Arial Unicode MS" w:eastAsia="宋体" w:hAnsi="等线" w:cs="Arial Unicode MS"/>
          <w:color w:val="000000"/>
          <w:kern w:val="0"/>
          <w:szCs w:val="21"/>
        </w:rPr>
        <w:t>—</w:t>
      </w:r>
      <w:r w:rsidRPr="00AC2052">
        <w:rPr>
          <w:rFonts w:ascii="宋体" w:eastAsia="宋体" w:hAnsi="等线" w:cs="宋体"/>
          <w:color w:val="000000"/>
          <w:kern w:val="0"/>
          <w:szCs w:val="21"/>
        </w:rPr>
        <w:t>2014</w:t>
      </w:r>
      <w:r w:rsidRPr="00AC2052">
        <w:rPr>
          <w:rFonts w:ascii="宋体" w:eastAsia="宋体" w:hAnsi="等线" w:cs="宋体" w:hint="eastAsia"/>
          <w:color w:val="000000"/>
          <w:kern w:val="0"/>
          <w:szCs w:val="21"/>
        </w:rPr>
        <w:t>）</w:t>
      </w:r>
      <w:r w:rsidRPr="00AC2052">
        <w:rPr>
          <w:rFonts w:ascii="宋体" w:eastAsia="宋体" w:hAnsi="等线" w:cs="宋体"/>
          <w:color w:val="000000"/>
          <w:kern w:val="0"/>
          <w:szCs w:val="21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2.5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钢制球形储罐（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GB12337-2014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2.6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球形储罐施工规范（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GB50094-2010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2.7 JB4732-1995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钢制压力容器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分析设计标准（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2005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年确认）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2.8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制冷装置用压力容器（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NB/T47012-2010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2.9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钛制焊接容器（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JB/T4745-2002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2.10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压力容器用钢板（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GB713-2014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2.11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低温压力容器用低合金钢板（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GB3531-2014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2.12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承压设备用不锈钢钢板及钢带（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GB24511-2009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2.13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承压设备用碳素钢和低合金钢锻件（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NB/T47008-2010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2.14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低温承压设备用低合金钢锻件（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NB/T47009-2010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2.15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承压设备用不锈钢和耐热钢锻件（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NB/T47010-2010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2.16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压力容器封头（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GB/T25198-2010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2.17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承压设备焊接工艺评定（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NB/T47014-2011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lastRenderedPageBreak/>
        <w:t xml:space="preserve">2.18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承压设备焊后热处理规程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(GB/T30583-2014)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2.19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压力容器焊接规程（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NB/T47015-2011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2.20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承压设备产品焊接试件的力学性能检验（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NB/T47016-2011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2.21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承压设备用焊接材料订货技术条件（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NB/T47018.1-47018.5-2011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="宋体" w:eastAsia="宋体" w:hAnsi="等线" w:cs="宋体"/>
          <w:color w:val="000000"/>
          <w:kern w:val="0"/>
          <w:sz w:val="18"/>
          <w:szCs w:val="18"/>
        </w:rPr>
      </w:pP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2.22 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承压设备无损检测（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>NB/T 47013-2015</w:t>
      </w:r>
      <w:r w:rsidRPr="00AC2052">
        <w:rPr>
          <w:rFonts w:ascii="宋体" w:eastAsia="宋体" w:hAnsi="等线" w:cs="宋体" w:hint="eastAsia"/>
          <w:color w:val="000000"/>
          <w:kern w:val="0"/>
          <w:sz w:val="18"/>
          <w:szCs w:val="18"/>
        </w:rPr>
        <w:t>）</w:t>
      </w:r>
      <w:r w:rsidRPr="00AC2052">
        <w:rPr>
          <w:rFonts w:ascii="宋体" w:eastAsia="宋体" w:hAnsi="等线" w:cs="宋体"/>
          <w:color w:val="000000"/>
          <w:kern w:val="0"/>
          <w:sz w:val="18"/>
          <w:szCs w:val="18"/>
        </w:rPr>
        <w:t xml:space="preserve"> </w:t>
      </w:r>
    </w:p>
    <w:p w:rsidR="00AC2052" w:rsidRPr="00AC2052" w:rsidRDefault="00AC2052" w:rsidP="00A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宋体" w:hAnsi="Calibri" w:cs="Times New Roman"/>
        </w:rPr>
      </w:pPr>
      <w:r w:rsidRPr="00AC2052">
        <w:rPr>
          <w:rFonts w:ascii="宋体" w:eastAsia="宋体" w:hAnsi="Calibri" w:cs="宋体"/>
          <w:sz w:val="18"/>
          <w:szCs w:val="18"/>
        </w:rPr>
        <w:t xml:space="preserve">2.23 </w:t>
      </w:r>
      <w:r w:rsidRPr="00AC2052">
        <w:rPr>
          <w:rFonts w:ascii="宋体" w:eastAsia="宋体" w:hAnsi="Calibri" w:cs="宋体" w:hint="eastAsia"/>
          <w:sz w:val="18"/>
          <w:szCs w:val="18"/>
        </w:rPr>
        <w:t>承压设备损伤模式识别（</w:t>
      </w:r>
      <w:r w:rsidRPr="00AC2052">
        <w:rPr>
          <w:rFonts w:ascii="宋体" w:eastAsia="宋体" w:hAnsi="Calibri" w:cs="宋体"/>
          <w:sz w:val="18"/>
          <w:szCs w:val="18"/>
        </w:rPr>
        <w:t>GB/T 30579-2014</w:t>
      </w:r>
      <w:r w:rsidRPr="00AC2052">
        <w:rPr>
          <w:rFonts w:ascii="宋体" w:eastAsia="宋体" w:hAnsi="Calibri" w:cs="宋体" w:hint="eastAsia"/>
          <w:sz w:val="18"/>
          <w:szCs w:val="18"/>
        </w:rPr>
        <w:t>）</w:t>
      </w:r>
    </w:p>
    <w:p w:rsidR="00345626" w:rsidRPr="00AC2052" w:rsidRDefault="00345626">
      <w:bookmarkStart w:id="0" w:name="_GoBack"/>
      <w:bookmarkEnd w:id="0"/>
    </w:p>
    <w:sectPr w:rsidR="00345626" w:rsidRPr="00AC2052" w:rsidSect="001E7D88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52"/>
    <w:rsid w:val="00345626"/>
    <w:rsid w:val="00A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2018-04-23T01:42:00Z</dcterms:created>
  <dcterms:modified xsi:type="dcterms:W3CDTF">2018-04-23T01:42:00Z</dcterms:modified>
</cp:coreProperties>
</file>