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63" w:rsidRPr="00CE6D63" w:rsidRDefault="00CE6D63" w:rsidP="00CE6D63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CE6D63">
        <w:rPr>
          <w:rFonts w:ascii="黑体" w:eastAsia="黑体" w:hAnsi="黑体" w:cs="CG Times" w:hint="eastAsia"/>
          <w:sz w:val="32"/>
          <w:szCs w:val="32"/>
        </w:rPr>
        <w:t>附件4：</w:t>
      </w:r>
    </w:p>
    <w:p w:rsidR="00CE6D63" w:rsidRPr="00CE6D63" w:rsidRDefault="00CE6D63" w:rsidP="00CE6D63">
      <w:pPr>
        <w:spacing w:line="600" w:lineRule="exact"/>
        <w:ind w:firstLineChars="750" w:firstLine="2409"/>
        <w:jc w:val="left"/>
        <w:rPr>
          <w:rFonts w:ascii="方正仿宋简体" w:eastAsia="方正仿宋简体" w:hAnsi="仿宋" w:cs="Times New Roman"/>
          <w:b/>
          <w:sz w:val="32"/>
          <w:szCs w:val="32"/>
        </w:rPr>
      </w:pPr>
      <w:r w:rsidRPr="00CE6D63">
        <w:rPr>
          <w:rFonts w:ascii="方正仿宋简体" w:eastAsia="方正仿宋简体" w:hAnsi="仿宋" w:cs="Times New Roman" w:hint="eastAsia"/>
          <w:b/>
          <w:sz w:val="32"/>
          <w:szCs w:val="32"/>
        </w:rPr>
        <w:t>电梯检验师常用法规标准目录</w:t>
      </w:r>
    </w:p>
    <w:p w:rsidR="00CE6D63" w:rsidRPr="00CE6D63" w:rsidRDefault="00CE6D63" w:rsidP="00CE6D63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21"/>
          <w:lang w:bidi="ar"/>
        </w:rPr>
      </w:pP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 xml:space="preserve">序号 法规标准名称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中华人民共和国特种设备安全法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电梯监督检验和定期检验规则－－曳引与强制驱动电梯（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T7001—2009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3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电梯监督检验和定期检验规则－－消防员电梯（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T7002—2011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4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电梯监督检验和定期检验规则－－防爆电梯（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T7003—2011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5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电梯监督检验与定期检验规则－－液压电梯（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T7004—2012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6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电梯监督检验和定期检验规则－－自动扶梯与自动人行道（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T7005—2012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7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电梯监督检验与定期检验规则－－杂物电梯（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T7006—2012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8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特种设备使用管理规则（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08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—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2017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9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电梯维护保养规则（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TSG T5002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—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2017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10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电梯型式试验规则（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TSG T7007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—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2016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11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特种设备生产和充装单位许可规则（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TSG 07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—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2019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12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电梯施工类别划分表（</w:t>
      </w:r>
      <w:proofErr w:type="gramStart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国市监特设</w:t>
      </w:r>
      <w:proofErr w:type="gramEnd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函〔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2019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〕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64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号） </w:t>
      </w:r>
    </w:p>
    <w:p w:rsidR="00CE6D63" w:rsidRPr="00CE6D63" w:rsidRDefault="00CE6D63" w:rsidP="00CE6D63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13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特种设备目录（质检总局 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2014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年第 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114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号公告）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14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电梯制造与安装安全规范（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 7588—2003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）（</w:t>
      </w:r>
      <w:proofErr w:type="gramStart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含第</w:t>
      </w:r>
      <w:proofErr w:type="gramEnd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 </w:t>
      </w:r>
      <w:proofErr w:type="gramStart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号修改单</w:t>
      </w:r>
      <w:proofErr w:type="gramEnd"/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15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自动扶梯和自动人行道的制造与安装安全规范（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 16899—2011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16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液压电梯制造与安装安全规范（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 21240—2007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17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消防电制造与安装安全规范（</w:t>
      </w:r>
      <w:r w:rsidRPr="00CE6D63">
        <w:rPr>
          <w:rFonts w:ascii="宋体" w:eastAsia="宋体" w:hAnsi="宋体" w:cs="宋体"/>
          <w:color w:val="000000"/>
          <w:kern w:val="0"/>
          <w:szCs w:val="21"/>
          <w:lang w:bidi="ar"/>
        </w:rPr>
        <w:t>GB/T</w:t>
      </w:r>
      <w:r w:rsidRPr="00CE6D63">
        <w:rPr>
          <w:rFonts w:ascii="TimesNewRomanPSMT" w:eastAsia="TimesNewRomanPSMT" w:hAnsi="TimesNewRomanPSMT" w:cs="TimesNewRomanPSMT"/>
          <w:color w:val="FF0000"/>
          <w:kern w:val="0"/>
          <w:szCs w:val="21"/>
          <w:lang w:bidi="ar"/>
        </w:rPr>
        <w:t xml:space="preserve"> 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26465—2011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18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防爆电梯制造与安装安全规范（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GB/T 31094—2014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19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杂物电梯制造与安装安全规范（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 25194—2010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20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提高在用电梯安全性的规范（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GB/T 24804—2009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21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提高在用自动扶梯和自动人行道安全性的规范 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GB/T 30692—2014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22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安装于现有建筑物中的新电梯制造与安装安全规范（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GB/T 28621—2012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23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电梯安全要求 第 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1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部分：电梯基本安全要求（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GB/T 24803.1—2009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24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电梯安全要求 第 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2 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部分：满足电梯基本安全要求的安全参数（</w:t>
      </w: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 xml:space="preserve">GB/T 24803.2—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TimesNewRomanPSMT" w:eastAsia="TimesNewRomanPSMT" w:hAnsi="TimesNewRomanPSMT" w:cs="TimesNewRomanPSMT"/>
          <w:color w:val="000000"/>
          <w:kern w:val="0"/>
          <w:szCs w:val="21"/>
          <w:lang w:bidi="ar"/>
        </w:rPr>
        <w:t>2013</w:t>
      </w:r>
      <w:r w:rsidRPr="00CE6D63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） </w:t>
      </w:r>
    </w:p>
    <w:p w:rsidR="00CE6D63" w:rsidRPr="00CE6D63" w:rsidRDefault="00CE6D63" w:rsidP="00CE6D63">
      <w:pPr>
        <w:widowControl/>
        <w:jc w:val="left"/>
        <w:rPr>
          <w:rFonts w:ascii="Calibri" w:eastAsia="宋体" w:hAnsi="Calibri" w:cs="Times New Roman"/>
        </w:rPr>
      </w:pPr>
      <w:r w:rsidRPr="00CE6D63"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 xml:space="preserve">注：序号 2-7，含 1 号、2 </w:t>
      </w:r>
      <w:proofErr w:type="gramStart"/>
      <w:r w:rsidRPr="00CE6D63"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号修改单</w:t>
      </w:r>
      <w:proofErr w:type="gramEnd"/>
      <w:r w:rsidRPr="00CE6D63"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 xml:space="preserve">。 </w:t>
      </w:r>
    </w:p>
    <w:p w:rsidR="00C74D36" w:rsidRPr="00CE6D63" w:rsidRDefault="00C74D36">
      <w:bookmarkStart w:id="0" w:name="_GoBack"/>
      <w:bookmarkEnd w:id="0"/>
    </w:p>
    <w:sectPr w:rsidR="00C74D36" w:rsidRPr="00CE6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3"/>
    <w:rsid w:val="00C74D36"/>
    <w:rsid w:val="00C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2019-06-28T08:19:00Z</dcterms:created>
  <dcterms:modified xsi:type="dcterms:W3CDTF">2019-06-28T08:19:00Z</dcterms:modified>
</cp:coreProperties>
</file>