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D0" w:rsidRPr="001210D0" w:rsidRDefault="001210D0" w:rsidP="001210D0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1210D0">
        <w:rPr>
          <w:rFonts w:ascii="黑体" w:eastAsia="黑体" w:hAnsi="黑体" w:cs="CG Times" w:hint="eastAsia"/>
          <w:sz w:val="32"/>
          <w:szCs w:val="32"/>
        </w:rPr>
        <w:t>附件2</w:t>
      </w:r>
    </w:p>
    <w:p w:rsidR="001210D0" w:rsidRPr="001210D0" w:rsidRDefault="001210D0" w:rsidP="001210D0">
      <w:pPr>
        <w:jc w:val="center"/>
        <w:rPr>
          <w:rFonts w:ascii="方正小标宋简体" w:eastAsia="方正小标宋简体" w:hAnsi="宋体" w:cs="宋体"/>
          <w:sz w:val="36"/>
          <w:szCs w:val="32"/>
        </w:rPr>
      </w:pPr>
      <w:r w:rsidRPr="001210D0">
        <w:rPr>
          <w:rFonts w:ascii="方正小标宋简体" w:eastAsia="方正小标宋简体" w:hAnsi="宋体" w:cs="宋体" w:hint="eastAsia"/>
          <w:sz w:val="36"/>
          <w:szCs w:val="32"/>
        </w:rPr>
        <w:t>2021全国压力容器检验师（RS）</w:t>
      </w:r>
    </w:p>
    <w:p w:rsidR="001210D0" w:rsidRPr="001210D0" w:rsidRDefault="001210D0" w:rsidP="001210D0">
      <w:pPr>
        <w:jc w:val="center"/>
        <w:rPr>
          <w:rFonts w:ascii="方正小标宋简体" w:eastAsia="方正小标宋简体" w:hAnsi="宋体" w:cs="宋体"/>
          <w:color w:val="000000"/>
          <w:sz w:val="36"/>
          <w:szCs w:val="32"/>
        </w:rPr>
      </w:pPr>
      <w:r w:rsidRPr="001210D0">
        <w:rPr>
          <w:rFonts w:ascii="方正小标宋简体" w:eastAsia="方正小标宋简体" w:hAnsi="宋体" w:cs="宋体" w:hint="eastAsia"/>
          <w:sz w:val="36"/>
          <w:szCs w:val="32"/>
        </w:rPr>
        <w:t>资格取证相应专业培训活动日程安排</w:t>
      </w:r>
      <w:r w:rsidRPr="001210D0">
        <w:rPr>
          <w:rFonts w:ascii="方正小标宋简体" w:eastAsia="方正小标宋简体" w:hAnsi="宋体" w:cs="宋体" w:hint="eastAsia"/>
          <w:color w:val="000000"/>
          <w:sz w:val="36"/>
          <w:szCs w:val="32"/>
        </w:rPr>
        <w:t>（池州）</w:t>
      </w:r>
    </w:p>
    <w:tbl>
      <w:tblPr>
        <w:tblStyle w:val="1"/>
        <w:tblW w:w="10066" w:type="dxa"/>
        <w:jc w:val="center"/>
        <w:tblInd w:w="490" w:type="dxa"/>
        <w:tblLayout w:type="fixed"/>
        <w:tblLook w:val="04A0" w:firstRow="1" w:lastRow="0" w:firstColumn="1" w:lastColumn="0" w:noHBand="0" w:noVBand="1"/>
      </w:tblPr>
      <w:tblGrid>
        <w:gridCol w:w="1107"/>
        <w:gridCol w:w="1134"/>
        <w:gridCol w:w="1587"/>
        <w:gridCol w:w="6238"/>
      </w:tblGrid>
      <w:tr w:rsidR="001210D0" w:rsidRPr="001210D0" w:rsidTr="001D6F86">
        <w:trPr>
          <w:cantSplit/>
          <w:trHeight w:val="567"/>
          <w:tblHeader/>
          <w:jc w:val="center"/>
        </w:trPr>
        <w:tc>
          <w:tcPr>
            <w:tcW w:w="110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日期</w:t>
            </w:r>
          </w:p>
        </w:tc>
        <w:tc>
          <w:tcPr>
            <w:tcW w:w="1134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课时</w:t>
            </w:r>
          </w:p>
        </w:tc>
        <w:tc>
          <w:tcPr>
            <w:tcW w:w="6238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内容</w:t>
            </w:r>
          </w:p>
        </w:tc>
      </w:tr>
      <w:tr w:rsidR="001210D0" w:rsidRPr="001210D0" w:rsidTr="001D6F86">
        <w:trPr>
          <w:cantSplit/>
          <w:trHeight w:val="481"/>
          <w:jc w:val="center"/>
        </w:trPr>
        <w:tc>
          <w:tcPr>
            <w:tcW w:w="110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6月5日</w:t>
            </w:r>
          </w:p>
        </w:tc>
        <w:tc>
          <w:tcPr>
            <w:tcW w:w="1134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7825" w:type="dxa"/>
            <w:gridSpan w:val="2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1210D0">
              <w:rPr>
                <w:rFonts w:ascii="宋体" w:eastAsia="宋体" w:hAnsi="宋体" w:cs="Times New Roman" w:hint="eastAsia"/>
                <w:b/>
              </w:rPr>
              <w:t>全  天  报  到</w:t>
            </w:r>
          </w:p>
        </w:tc>
      </w:tr>
      <w:tr w:rsidR="001210D0" w:rsidRPr="001210D0" w:rsidTr="001D6F86">
        <w:trPr>
          <w:cantSplit/>
          <w:trHeight w:val="851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6月6日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08:30-09:00</w:t>
            </w:r>
          </w:p>
        </w:tc>
        <w:tc>
          <w:tcPr>
            <w:tcW w:w="6238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压力容器检验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师培训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相关事项讲解</w:t>
            </w:r>
          </w:p>
        </w:tc>
      </w:tr>
      <w:tr w:rsidR="001210D0" w:rsidRPr="001210D0" w:rsidTr="001D6F86">
        <w:trPr>
          <w:cantSplit/>
          <w:trHeight w:val="991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09:00-12:00</w:t>
            </w:r>
          </w:p>
        </w:tc>
        <w:tc>
          <w:tcPr>
            <w:tcW w:w="6238" w:type="dxa"/>
            <w:vMerge w:val="restart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特种设备安全法规（8课时）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1、特种设备安全监察现状综合分析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2、特种设备事故调查处理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3、特种设备检验检测监督管理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4、压力容器安全监督管理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5、压力容器失效概论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6、安全阀安全技术监察规程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7、本部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851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1305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6月7日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 w:val="restart"/>
            <w:vAlign w:val="center"/>
          </w:tcPr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压力容器材料（6课时）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1、压力容器材料的组织特点与热处理方法分析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2、压力容器用材料成分、力学性能及金相组织检验方法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3、压力容器材料性能要求及选用特点分析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</w:t>
            </w:r>
            <w:r w:rsidRPr="001210D0">
              <w:rPr>
                <w:rFonts w:ascii="宋体" w:eastAsia="宋体" w:hAnsi="宋体" w:cs="Times New Roman" w:hint="eastAsia"/>
                <w:color w:val="000000"/>
              </w:rPr>
              <w:t>金属材料的损伤和失效分析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5、压力容器密封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件特点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及选用分析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6、密封件失效特点分析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7、本部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851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851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6月8日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 w:val="restart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 xml:space="preserve">压力容器设计的力学基础（4课时）  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1.1 </w:t>
            </w:r>
            <w:r w:rsidRPr="001210D0">
              <w:rPr>
                <w:rFonts w:ascii="宋体" w:eastAsia="宋体" w:hAnsi="宋体" w:cs="Times New Roman" w:hint="eastAsia"/>
              </w:rPr>
              <w:t>构件的承载方式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1.2 </w:t>
            </w:r>
            <w:r w:rsidRPr="001210D0">
              <w:rPr>
                <w:rFonts w:ascii="宋体" w:eastAsia="宋体" w:hAnsi="宋体" w:cs="Times New Roman" w:hint="eastAsia"/>
              </w:rPr>
              <w:t>应力的基本概念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1.3 </w:t>
            </w:r>
            <w:r w:rsidRPr="001210D0">
              <w:rPr>
                <w:rFonts w:ascii="宋体" w:eastAsia="宋体" w:hAnsi="宋体" w:cs="Times New Roman" w:hint="eastAsia"/>
              </w:rPr>
              <w:t>材料的力学性能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1.4 </w:t>
            </w:r>
            <w:r w:rsidRPr="001210D0">
              <w:rPr>
                <w:rFonts w:ascii="宋体" w:eastAsia="宋体" w:hAnsi="宋体" w:cs="Times New Roman" w:hint="eastAsia"/>
              </w:rPr>
              <w:t>强度理论与强度条件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1.5 </w:t>
            </w:r>
            <w:r w:rsidRPr="001210D0">
              <w:rPr>
                <w:rFonts w:ascii="宋体" w:eastAsia="宋体" w:hAnsi="宋体" w:cs="Times New Roman" w:hint="eastAsia"/>
              </w:rPr>
              <w:t>几个补充概念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压力容器承载特征与常规设计（8课时）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2.1 </w:t>
            </w:r>
            <w:r w:rsidRPr="001210D0">
              <w:rPr>
                <w:rFonts w:ascii="宋体" w:eastAsia="宋体" w:hAnsi="宋体" w:cs="Times New Roman" w:hint="eastAsia"/>
              </w:rPr>
              <w:t>典型压力容器的结构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2.2 </w:t>
            </w:r>
            <w:r w:rsidRPr="001210D0">
              <w:rPr>
                <w:rFonts w:ascii="宋体" w:eastAsia="宋体" w:hAnsi="宋体" w:cs="Times New Roman" w:hint="eastAsia"/>
              </w:rPr>
              <w:t>压力容器载荷种类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2.3 </w:t>
            </w:r>
            <w:r w:rsidRPr="001210D0">
              <w:rPr>
                <w:rFonts w:ascii="宋体" w:eastAsia="宋体" w:hAnsi="宋体" w:cs="Times New Roman" w:hint="eastAsia"/>
              </w:rPr>
              <w:t>典型压力容器部件的承载特征和常规设计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2.4  </w:t>
            </w:r>
            <w:r w:rsidRPr="001210D0">
              <w:rPr>
                <w:rFonts w:ascii="宋体" w:eastAsia="宋体" w:hAnsi="宋体" w:cs="Times New Roman" w:hint="eastAsia"/>
              </w:rPr>
              <w:t>压力容器设计概述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压力容器分析设计（4课时）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3.1 </w:t>
            </w:r>
            <w:r w:rsidRPr="001210D0">
              <w:rPr>
                <w:rFonts w:ascii="宋体" w:eastAsia="宋体" w:hAnsi="宋体" w:cs="Times New Roman" w:hint="eastAsia"/>
              </w:rPr>
              <w:t>压力容器设计准则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lastRenderedPageBreak/>
              <w:t xml:space="preserve">3.2 </w:t>
            </w:r>
            <w:r w:rsidRPr="001210D0">
              <w:rPr>
                <w:rFonts w:ascii="宋体" w:eastAsia="宋体" w:hAnsi="宋体" w:cs="Times New Roman" w:hint="eastAsia"/>
              </w:rPr>
              <w:t>常规设计与分析设计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3.3 </w:t>
            </w:r>
            <w:r w:rsidRPr="001210D0">
              <w:rPr>
                <w:rFonts w:ascii="宋体" w:eastAsia="宋体" w:hAnsi="宋体" w:cs="Times New Roman" w:hint="eastAsia"/>
              </w:rPr>
              <w:t>有限元分析技术概要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3.4 </w:t>
            </w:r>
            <w:r w:rsidRPr="001210D0">
              <w:rPr>
                <w:rFonts w:ascii="宋体" w:eastAsia="宋体" w:hAnsi="宋体" w:cs="Times New Roman" w:hint="eastAsia"/>
              </w:rPr>
              <w:t>以应力分析为基础的设计：应力分类法与控制原则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3.5 </w:t>
            </w:r>
            <w:r w:rsidRPr="001210D0">
              <w:rPr>
                <w:rFonts w:ascii="宋体" w:eastAsia="宋体" w:hAnsi="宋体" w:cs="Times New Roman" w:hint="eastAsia"/>
              </w:rPr>
              <w:t>以疲劳分析为基础的设计：疲劳与疲劳评定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压力容器安全技术串讲（4课时）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4.1 </w:t>
            </w:r>
            <w:r w:rsidRPr="001210D0">
              <w:rPr>
                <w:rFonts w:ascii="宋体" w:eastAsia="宋体" w:hAnsi="宋体" w:cs="Times New Roman" w:hint="eastAsia"/>
              </w:rPr>
              <w:t>压力容器安全管理体系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4.2 </w:t>
            </w:r>
            <w:r w:rsidRPr="001210D0">
              <w:rPr>
                <w:rFonts w:ascii="宋体" w:eastAsia="宋体" w:hAnsi="宋体" w:cs="Times New Roman" w:hint="eastAsia"/>
              </w:rPr>
              <w:t>焊接问题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4.2 </w:t>
            </w:r>
            <w:r w:rsidRPr="001210D0">
              <w:rPr>
                <w:rFonts w:ascii="宋体" w:eastAsia="宋体" w:hAnsi="宋体" w:cs="Times New Roman" w:hint="eastAsia"/>
              </w:rPr>
              <w:t>局部减薄判据的理论基础与应用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4.4 </w:t>
            </w:r>
            <w:r w:rsidRPr="001210D0">
              <w:rPr>
                <w:rFonts w:ascii="宋体" w:eastAsia="宋体" w:hAnsi="宋体" w:cs="Times New Roman" w:hint="eastAsia"/>
              </w:rPr>
              <w:t>失效分析概论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4.5 </w:t>
            </w:r>
            <w:r w:rsidRPr="001210D0">
              <w:rPr>
                <w:rFonts w:ascii="宋体" w:eastAsia="宋体" w:hAnsi="宋体" w:cs="Times New Roman" w:hint="eastAsia"/>
              </w:rPr>
              <w:t>安全附件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 xml:space="preserve">4.6 </w:t>
            </w:r>
            <w:r w:rsidRPr="001210D0">
              <w:rPr>
                <w:rFonts w:ascii="宋体" w:eastAsia="宋体" w:hAnsi="宋体" w:cs="Times New Roman" w:hint="eastAsia"/>
              </w:rPr>
              <w:t>其它问题（答疑）</w:t>
            </w:r>
          </w:p>
        </w:tc>
      </w:tr>
      <w:tr w:rsidR="001210D0" w:rsidRPr="001210D0" w:rsidTr="001D6F86">
        <w:trPr>
          <w:cantSplit/>
          <w:trHeight w:val="851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851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6月9日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1518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851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lastRenderedPageBreak/>
              <w:t>6月10日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977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Align w:val="center"/>
          </w:tcPr>
          <w:p w:rsidR="001210D0" w:rsidRPr="001210D0" w:rsidRDefault="001210D0" w:rsidP="001210D0">
            <w:pPr>
              <w:rPr>
                <w:rFonts w:ascii="宋体" w:eastAsia="宋体" w:hAnsi="宋体" w:cs="Times New Roman"/>
                <w:color w:val="FF0000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压力容器介质与腐蚀知识</w:t>
            </w:r>
            <w:r w:rsidRPr="001210D0">
              <w:rPr>
                <w:rFonts w:ascii="宋体" w:eastAsia="宋体" w:hAnsi="宋体" w:cs="Times New Roman" w:hint="eastAsia"/>
                <w:color w:val="FF0000"/>
              </w:rPr>
              <w:t>（4课时）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1、压力容器介质特点分析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2、压力容器材料在介质中的腐蚀性能分析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3、压力容器腐蚀特点及腐蚀形态分析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4、腐蚀失效分析及案例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1064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6月11日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 w:val="restart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压力容器检验方法（8课时）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1、无损检测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2、耐压试验、泄漏性试验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3、其他检验检测方法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965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14：30-16:00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851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6月12日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 w:val="restart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基于风险的检验方法及压力容器缺陷安全评定（6课时）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1、基于风险的检验方法（2课时）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2、压力容器缺陷安全评定（4课时）</w:t>
            </w:r>
          </w:p>
        </w:tc>
      </w:tr>
      <w:tr w:rsidR="001210D0" w:rsidRPr="001210D0" w:rsidTr="001D6F86">
        <w:trPr>
          <w:cantSplit/>
          <w:trHeight w:val="692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14：30-16:00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1307"/>
          <w:jc w:val="center"/>
        </w:trPr>
        <w:tc>
          <w:tcPr>
            <w:tcW w:w="110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6月13日</w:t>
            </w:r>
          </w:p>
        </w:tc>
        <w:tc>
          <w:tcPr>
            <w:tcW w:w="1134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7825" w:type="dxa"/>
            <w:gridSpan w:val="2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1210D0">
              <w:rPr>
                <w:rFonts w:ascii="宋体" w:eastAsia="宋体" w:hAnsi="宋体" w:cs="Times New Roman"/>
                <w:b/>
                <w:sz w:val="24"/>
              </w:rPr>
              <w:t>全</w:t>
            </w:r>
            <w:r w:rsidRPr="001210D0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Pr="001210D0">
              <w:rPr>
                <w:rFonts w:ascii="宋体" w:eastAsia="宋体" w:hAnsi="宋体" w:cs="Times New Roman"/>
                <w:b/>
                <w:sz w:val="24"/>
              </w:rPr>
              <w:t>天</w:t>
            </w:r>
            <w:r w:rsidRPr="001210D0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Pr="001210D0">
              <w:rPr>
                <w:rFonts w:ascii="宋体" w:eastAsia="宋体" w:hAnsi="宋体" w:cs="Times New Roman"/>
                <w:b/>
                <w:sz w:val="24"/>
              </w:rPr>
              <w:t>自</w:t>
            </w:r>
            <w:r w:rsidRPr="001210D0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Pr="001210D0">
              <w:rPr>
                <w:rFonts w:ascii="宋体" w:eastAsia="宋体" w:hAnsi="宋体" w:cs="Times New Roman"/>
                <w:b/>
                <w:sz w:val="24"/>
              </w:rPr>
              <w:t>习</w:t>
            </w:r>
          </w:p>
        </w:tc>
      </w:tr>
      <w:tr w:rsidR="001210D0" w:rsidRPr="001210D0" w:rsidTr="001D6F86">
        <w:trPr>
          <w:cantSplit/>
          <w:trHeight w:val="1057"/>
          <w:jc w:val="center"/>
        </w:trPr>
        <w:tc>
          <w:tcPr>
            <w:tcW w:w="110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6月14日</w:t>
            </w:r>
          </w:p>
        </w:tc>
        <w:tc>
          <w:tcPr>
            <w:tcW w:w="1134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7825" w:type="dxa"/>
            <w:gridSpan w:val="2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1210D0">
              <w:rPr>
                <w:rFonts w:ascii="宋体" w:eastAsia="宋体" w:hAnsi="宋体" w:cs="Times New Roman"/>
                <w:b/>
                <w:sz w:val="24"/>
              </w:rPr>
              <w:t>全</w:t>
            </w:r>
            <w:r w:rsidRPr="001210D0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Pr="001210D0">
              <w:rPr>
                <w:rFonts w:ascii="宋体" w:eastAsia="宋体" w:hAnsi="宋体" w:cs="Times New Roman"/>
                <w:b/>
                <w:sz w:val="24"/>
              </w:rPr>
              <w:t>天</w:t>
            </w:r>
            <w:r w:rsidRPr="001210D0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Pr="001210D0">
              <w:rPr>
                <w:rFonts w:ascii="宋体" w:eastAsia="宋体" w:hAnsi="宋体" w:cs="Times New Roman"/>
                <w:b/>
                <w:sz w:val="24"/>
              </w:rPr>
              <w:t>自</w:t>
            </w:r>
            <w:r w:rsidRPr="001210D0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Pr="001210D0">
              <w:rPr>
                <w:rFonts w:ascii="宋体" w:eastAsia="宋体" w:hAnsi="宋体" w:cs="Times New Roman"/>
                <w:b/>
                <w:sz w:val="24"/>
              </w:rPr>
              <w:t>习</w:t>
            </w:r>
          </w:p>
        </w:tc>
      </w:tr>
      <w:tr w:rsidR="001210D0" w:rsidRPr="001210D0" w:rsidTr="001D6F86">
        <w:trPr>
          <w:cantSplit/>
          <w:trHeight w:val="1243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6月15日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 w:val="restart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压力容器定期检验（10课时）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1、压力容器定期检验规则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2、检验工艺及检验方案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lastRenderedPageBreak/>
              <w:t>3、检验案例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4、检验安全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851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369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lastRenderedPageBreak/>
              <w:t>6月16日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Align w:val="center"/>
          </w:tcPr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超高压容器专题</w:t>
            </w:r>
            <w:r w:rsidRPr="001210D0">
              <w:rPr>
                <w:rFonts w:ascii="宋体" w:eastAsia="宋体" w:hAnsi="宋体" w:cs="Times New Roman" w:hint="eastAsia"/>
                <w:color w:val="FF0000"/>
              </w:rPr>
              <w:t>（4课时）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1、超高压容器设备特点（结构等）分析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2、超高压容器安全技术基本要求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3、超高压容器典型设备失效特点及失效分析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4、超高压容器定期检验项目、检验方案与常见问题分析与检验实施（检验方法、检验记录、检验报告、检验结果处理等）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5、超高压容器典型设备定期检验工艺及方案分析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6、超高压容器事故案例分析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7、超高压容器定期检验案例分析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8、本部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368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钢制球形储罐（4课时）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1、球形储罐设备特点（材料、结构等）分析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2、、球形储罐设备制造（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含现场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组焊）工艺过程分析，产品检验、试验项目及方法分析，质量控制要点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3、球形储罐设备质量要求（标准）项目及内容分析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4、球形储罐制造（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含现场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组焊）监督检验项目、检验方案与常见问题分析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5、球形储罐典型设备监督检验工艺及方案分析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6、球形储罐典型设备监督检验案例分析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7、球形储罐典型设备失效特点及失效分析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8、球形储罐定期检验项目、检验方案与常见问题分析和检验实施（检验方法、检验记录、检验报告、检验结果处理等）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9、球形储罐典型设备定期检验工艺及方案分析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10、球形储罐事故案例分析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11、球形储罐定期检验案例分析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12、本部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1824"/>
          <w:jc w:val="center"/>
        </w:trPr>
        <w:tc>
          <w:tcPr>
            <w:tcW w:w="110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6月17日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 w:val="restart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>移动式压力容器</w:t>
            </w:r>
            <w:r w:rsidRPr="001210D0">
              <w:rPr>
                <w:rFonts w:ascii="宋体" w:eastAsia="宋体" w:hAnsi="宋体" w:cs="Times New Roman" w:hint="eastAsia"/>
              </w:rPr>
              <w:t>（8课时）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1、移动式压力容器设备特点（类别、材料、结构、安全附件等）分析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2、移动式压力容器安全技术基本要求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3、移动式压力容器设备质量要求（标准）项目及内容分析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4、移动式压力容器典型设备失效特点及失效分析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5、移动式压力容器定期检验（年度检验、全面检验）项目、检验方案与常见问题分析与检验实施（检验方法、检验记录、检验报告、检验结果处理等）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6、移动式压力容器典型设备定期检验工艺及方案分析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7、移动式压力容器事故案例分析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8、移动式压力容器定期检验案例分析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9、本部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956"/>
          <w:jc w:val="center"/>
        </w:trPr>
        <w:tc>
          <w:tcPr>
            <w:tcW w:w="11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1360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lastRenderedPageBreak/>
              <w:t>6月18日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 w:val="restart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大型成套石化装置专题（16课时）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1、石化装置特点（石化装置的种类主要石化装置的工艺特点与对设备的要求）分析及本部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2、典型石化装置失效机理与失效模式分析及本部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3、加氢裂化装置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3.1加氢反应器设备特点分析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3.2加氢反应器失效模式及失效分析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3.3加氢反应器检验方案分析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3.4加氢反应器事故（含损坏）案例分析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3.5加氢反应器检验案例分析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3.6本部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4、延迟焦化装置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4.1焦碳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塔设备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特点分析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4.2焦碳塔失效模式及失效分析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4.3焦碳塔检验方案分析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4.4焦碳塔事故（含损坏）案例分析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4.5焦碳塔检验案例分析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4.6本部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5、化肥装置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5.1氨合成塔与尿素合成塔设备特点分析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5.2氨合成塔与尿素合成塔失效模式及失效分析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5.3氨合成塔与尿素合成塔检验方案分析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5.4本部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1165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1703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6月19日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3519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974"/>
          <w:jc w:val="center"/>
        </w:trPr>
        <w:tc>
          <w:tcPr>
            <w:tcW w:w="110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6月20日</w:t>
            </w:r>
          </w:p>
        </w:tc>
        <w:tc>
          <w:tcPr>
            <w:tcW w:w="1134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7825" w:type="dxa"/>
            <w:gridSpan w:val="2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1210D0">
              <w:rPr>
                <w:rFonts w:ascii="宋体" w:eastAsia="宋体" w:hAnsi="宋体" w:cs="Times New Roman" w:hint="eastAsia"/>
                <w:b/>
                <w:sz w:val="22"/>
              </w:rPr>
              <w:t>全 天 自 习</w:t>
            </w:r>
          </w:p>
        </w:tc>
      </w:tr>
      <w:tr w:rsidR="001210D0" w:rsidRPr="001210D0" w:rsidTr="001D6F86">
        <w:trPr>
          <w:cantSplit/>
          <w:trHeight w:val="1251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6月21日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 w:val="restart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压力容器制造安装改造维修质量保证体系（8课时）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1、质量管理基础知识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2、特种设备制造、安装、改造、维修质量保证体系基本要求与鉴定评审方法及要求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3、结合监督检验本部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684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1914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lastRenderedPageBreak/>
              <w:t>6月22日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气瓶专题（4课时）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1、气瓶设备特点（分类、结构等）分析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2、气瓶安全技术基本要求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3、气瓶产品质量要求与产品检验项目、检验方法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4、气瓶制造监检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5、气瓶常见失效特点及原因分析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6、气瓶检验标准与检验实施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7、气瓶事故案例分析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8、气瓶定期检验案例分析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9、本部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1530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 w:val="restart"/>
            <w:vAlign w:val="center"/>
          </w:tcPr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压力容器使用管理、安装、维修、改造知识（4课时）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1、压力容器安装、维修、改造知识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2、压力容器使用管理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压力容器制造</w:t>
            </w:r>
            <w:r w:rsidRPr="001210D0">
              <w:rPr>
                <w:rFonts w:ascii="宋体" w:eastAsia="宋体" w:hAnsi="宋体" w:cs="Times New Roman" w:hint="eastAsia"/>
                <w:color w:val="FF0000"/>
              </w:rPr>
              <w:t>（2课时）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1、压力容器制造过程与制造工艺分析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2、压力容器产品质量要求（GB 150）与检验方法分析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3、压力容器制造质量控制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  <w:b/>
              </w:rPr>
            </w:pPr>
            <w:r w:rsidRPr="001210D0">
              <w:rPr>
                <w:rFonts w:ascii="宋体" w:eastAsia="宋体" w:hAnsi="宋体" w:cs="Times New Roman" w:hint="eastAsia"/>
              </w:rPr>
              <w:t>4、本部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压力容器焊接（8课时）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1、焊接方法选用分析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2、压力容器焊接材料选用分析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3、焊接工艺评定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</w:t>
            </w:r>
            <w:r w:rsidRPr="001210D0">
              <w:rPr>
                <w:rFonts w:ascii="宋体" w:eastAsia="宋体" w:hAnsi="宋体" w:cs="Times New Roman"/>
              </w:rPr>
              <w:t>焊</w:t>
            </w:r>
            <w:r w:rsidRPr="001210D0">
              <w:rPr>
                <w:rFonts w:ascii="宋体" w:eastAsia="宋体" w:hAnsi="宋体" w:cs="Times New Roman" w:hint="eastAsia"/>
              </w:rPr>
              <w:t>工资格评定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5、焊接工艺规程</w:t>
            </w:r>
          </w:p>
          <w:p w:rsidR="001210D0" w:rsidRPr="001210D0" w:rsidRDefault="001210D0" w:rsidP="001210D0">
            <w:pPr>
              <w:jc w:val="left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6、焊接缺陷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  <w:b/>
              </w:rPr>
            </w:pPr>
            <w:r w:rsidRPr="001210D0">
              <w:rPr>
                <w:rFonts w:ascii="宋体" w:eastAsia="宋体" w:hAnsi="宋体" w:cs="Times New Roman" w:hint="eastAsia"/>
              </w:rPr>
              <w:t>7、本部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压力容器制造监检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1、压力容器制造监检规则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2、压力容器制造监检内容、方案分析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3、压力容器制造监检案例分析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奥氏体不锈钢压力容器专题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1、奥氏体不锈钢压力容器特点分析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2、奥氏体不锈钢压力容器制造特点分析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lastRenderedPageBreak/>
              <w:t>3、奥氏体不锈钢压力容器失效特点分析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钛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制压力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容器专题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1、钛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制压力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容器特点分析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2、钛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制压力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容器制造特点分析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3、钛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制压力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容器失效特点分析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快开门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式压力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容器专题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1、快开门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式压力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容器特点分析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2、快开门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式压力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容器典型设备（蒸压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釜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）失效特点分析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3、快开门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式压力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容器典型设备（蒸压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釜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）检验方案分析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4、快开门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式压力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容器典型设备（蒸压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釜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）事故案例分析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低温压力容器专题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1、低温压力容器特点分析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2、低温压力容器产品质量要求项目分析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3、低温压力容器失效特点及失效分析</w:t>
            </w:r>
          </w:p>
          <w:p w:rsidR="001210D0" w:rsidRPr="001210D0" w:rsidRDefault="001210D0" w:rsidP="001210D0">
            <w:pPr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4、低温压力容器事故案例分析</w:t>
            </w:r>
          </w:p>
          <w:p w:rsidR="001210D0" w:rsidRPr="001210D0" w:rsidRDefault="001210D0" w:rsidP="001210D0">
            <w:pPr>
              <w:spacing w:line="240" w:lineRule="exact"/>
              <w:ind w:leftChars="-39" w:left="-82" w:rightChars="-51" w:right="-107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5、本部</w:t>
            </w:r>
            <w:proofErr w:type="gramStart"/>
            <w:r w:rsidRPr="001210D0">
              <w:rPr>
                <w:rFonts w:ascii="宋体" w:eastAsia="宋体" w:hAnsi="宋体" w:cs="Times New Roman" w:hint="eastAsia"/>
              </w:rPr>
              <w:t>分相关</w:t>
            </w:r>
            <w:proofErr w:type="gramEnd"/>
            <w:r w:rsidRPr="001210D0">
              <w:rPr>
                <w:rFonts w:ascii="宋体" w:eastAsia="宋体" w:hAnsi="宋体" w:cs="Times New Roman" w:hint="eastAsia"/>
              </w:rPr>
              <w:t>内容的综合应用题例</w:t>
            </w:r>
          </w:p>
        </w:tc>
      </w:tr>
      <w:tr w:rsidR="001210D0" w:rsidRPr="001210D0" w:rsidTr="001D6F86">
        <w:trPr>
          <w:cantSplit/>
          <w:trHeight w:val="861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6月23日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spacing w:line="240" w:lineRule="exact"/>
              <w:ind w:leftChars="-39" w:left="-82" w:rightChars="-51" w:right="-107"/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1210D0" w:rsidRPr="001210D0" w:rsidTr="001D6F86">
        <w:trPr>
          <w:cantSplit/>
          <w:trHeight w:val="966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spacing w:line="240" w:lineRule="exact"/>
              <w:ind w:leftChars="-39" w:left="-82" w:rightChars="-51" w:right="-107"/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1210D0" w:rsidRPr="001210D0" w:rsidTr="001D6F86">
        <w:trPr>
          <w:cantSplit/>
          <w:trHeight w:val="1986"/>
          <w:jc w:val="center"/>
        </w:trPr>
        <w:tc>
          <w:tcPr>
            <w:tcW w:w="1107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6月24日</w:t>
            </w:r>
          </w:p>
        </w:tc>
        <w:tc>
          <w:tcPr>
            <w:tcW w:w="1134" w:type="dxa"/>
            <w:vMerge w:val="restart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08:30-12:00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spacing w:line="240" w:lineRule="exact"/>
              <w:ind w:leftChars="-39" w:left="-82" w:rightChars="-51" w:right="-107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210D0" w:rsidRPr="001210D0" w:rsidTr="001D6F86">
        <w:trPr>
          <w:cantSplit/>
          <w:trHeight w:val="2537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  <w:p w:rsidR="001210D0" w:rsidRPr="001210D0" w:rsidRDefault="001210D0" w:rsidP="001210D0">
            <w:pPr>
              <w:spacing w:line="240" w:lineRule="exact"/>
              <w:ind w:leftChars="-39" w:left="-82" w:rightChars="-51" w:right="-107"/>
              <w:jc w:val="center"/>
              <w:rPr>
                <w:rFonts w:ascii="宋体" w:eastAsia="宋体" w:hAnsi="宋体" w:cs="Times New Roman"/>
                <w:b/>
              </w:rPr>
            </w:pPr>
            <w:r w:rsidRPr="001210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238" w:type="dxa"/>
            <w:vMerge/>
            <w:vAlign w:val="center"/>
          </w:tcPr>
          <w:p w:rsidR="001210D0" w:rsidRPr="001210D0" w:rsidRDefault="001210D0" w:rsidP="001210D0">
            <w:pPr>
              <w:spacing w:line="240" w:lineRule="exact"/>
              <w:ind w:leftChars="-39" w:left="-82" w:rightChars="-51" w:right="-107"/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1210D0" w:rsidRPr="001210D0" w:rsidTr="001D6F86">
        <w:trPr>
          <w:cantSplit/>
          <w:trHeight w:val="3064"/>
          <w:jc w:val="center"/>
        </w:trPr>
        <w:tc>
          <w:tcPr>
            <w:tcW w:w="110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lastRenderedPageBreak/>
              <w:t>6月25日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/>
              </w:rPr>
              <w:t>星期五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上午</w:t>
            </w:r>
          </w:p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2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10D0" w:rsidRPr="001210D0" w:rsidRDefault="001210D0" w:rsidP="001210D0">
            <w:pPr>
              <w:spacing w:line="240" w:lineRule="exact"/>
              <w:ind w:leftChars="-39" w:left="-82" w:rightChars="-51" w:right="-107"/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1210D0" w:rsidRPr="001210D0" w:rsidTr="001D6F86">
        <w:trPr>
          <w:cantSplit/>
          <w:trHeight w:val="988"/>
          <w:jc w:val="center"/>
        </w:trPr>
        <w:tc>
          <w:tcPr>
            <w:tcW w:w="1107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7" w:type="dxa"/>
            <w:vAlign w:val="center"/>
          </w:tcPr>
          <w:p w:rsidR="001210D0" w:rsidRPr="001210D0" w:rsidRDefault="001210D0" w:rsidP="001210D0">
            <w:pPr>
              <w:jc w:val="center"/>
              <w:rPr>
                <w:rFonts w:ascii="宋体" w:eastAsia="宋体" w:hAnsi="宋体" w:cs="Times New Roman"/>
              </w:rPr>
            </w:pPr>
            <w:r w:rsidRPr="001210D0">
              <w:rPr>
                <w:rFonts w:ascii="宋体" w:eastAsia="宋体" w:hAnsi="宋体" w:cs="Times New Roman" w:hint="eastAsia"/>
              </w:rPr>
              <w:t>下午</w:t>
            </w:r>
          </w:p>
        </w:tc>
        <w:tc>
          <w:tcPr>
            <w:tcW w:w="6238" w:type="dxa"/>
            <w:vAlign w:val="center"/>
          </w:tcPr>
          <w:p w:rsidR="001210D0" w:rsidRPr="001210D0" w:rsidRDefault="001210D0" w:rsidP="001210D0">
            <w:pPr>
              <w:spacing w:line="240" w:lineRule="exact"/>
              <w:ind w:leftChars="-39" w:left="-82" w:rightChars="-51" w:right="-107"/>
              <w:jc w:val="center"/>
              <w:rPr>
                <w:rFonts w:ascii="宋体" w:eastAsia="宋体" w:hAnsi="宋体" w:cs="Times New Roman"/>
                <w:b/>
              </w:rPr>
            </w:pPr>
            <w:r w:rsidRPr="001210D0">
              <w:rPr>
                <w:rFonts w:ascii="宋体" w:eastAsia="宋体" w:hAnsi="宋体" w:cs="Times New Roman"/>
                <w:b/>
              </w:rPr>
              <w:t>自</w:t>
            </w:r>
            <w:r w:rsidRPr="001210D0">
              <w:rPr>
                <w:rFonts w:ascii="宋体" w:eastAsia="宋体" w:hAnsi="宋体" w:cs="Times New Roman" w:hint="eastAsia"/>
                <w:b/>
              </w:rPr>
              <w:t xml:space="preserve">  </w:t>
            </w:r>
            <w:r w:rsidRPr="001210D0">
              <w:rPr>
                <w:rFonts w:ascii="宋体" w:eastAsia="宋体" w:hAnsi="宋体" w:cs="Times New Roman"/>
                <w:b/>
              </w:rPr>
              <w:t>习</w:t>
            </w:r>
          </w:p>
        </w:tc>
      </w:tr>
    </w:tbl>
    <w:p w:rsidR="001210D0" w:rsidRPr="001210D0" w:rsidRDefault="001210D0" w:rsidP="001210D0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1210D0" w:rsidRPr="001210D0" w:rsidRDefault="001210D0" w:rsidP="001210D0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1210D0" w:rsidRPr="001210D0" w:rsidRDefault="001210D0" w:rsidP="001210D0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1210D0" w:rsidRPr="001210D0" w:rsidRDefault="001210D0" w:rsidP="001210D0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1978C4" w:rsidRDefault="001978C4">
      <w:bookmarkStart w:id="0" w:name="_GoBack"/>
      <w:bookmarkEnd w:id="0"/>
    </w:p>
    <w:sectPr w:rsidR="001978C4" w:rsidSect="00121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D0"/>
    <w:rsid w:val="001210D0"/>
    <w:rsid w:val="001978C4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1210D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1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1210D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1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2021-04-28T01:53:00Z</dcterms:created>
  <dcterms:modified xsi:type="dcterms:W3CDTF">2021-04-28T01:53:00Z</dcterms:modified>
</cp:coreProperties>
</file>